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DA2F"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14:paraId="4D8B1138" w14:textId="77777777" w:rsidR="00D93A9B" w:rsidRDefault="00D93A9B" w:rsidP="00D93A9B">
      <w:pPr>
        <w:widowControl w:val="0"/>
        <w:spacing w:after="0" w:line="360" w:lineRule="auto"/>
        <w:ind w:firstLine="709"/>
        <w:jc w:val="both"/>
        <w:rPr>
          <w:rFonts w:ascii="Times New Roman" w:hAnsi="Times New Roman"/>
          <w:sz w:val="28"/>
          <w:szCs w:val="28"/>
        </w:rPr>
      </w:pPr>
    </w:p>
    <w:p w14:paraId="6B206A82" w14:textId="3E39E28E"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Целью прохождения практики на получение рабочей профессии является усвоение теоретических знаний по технологии добычи нефти и газа, применяемого оборудования; по замерам нефти и воды через узлы учета ГЗУ, ДНС, снятию показаний контрольно-измерительных приборов, отбор проб для проведения анализа, согласно инструкций по охране труда по видам работ.</w:t>
      </w:r>
    </w:p>
    <w:p w14:paraId="55A2DCE9" w14:textId="77777777" w:rsidR="00BF02CC" w:rsidRPr="009A3836" w:rsidRDefault="00BF02CC" w:rsidP="00D93A9B">
      <w:pPr>
        <w:widowControl w:val="0"/>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Повышение и восстановление производительности эксплуатационных скважин - важнейшая практическая задача деятельности предприятия нефтегазодобывающей промышленности, от решения которой зависит выполнение </w:t>
      </w:r>
      <w:r w:rsidRPr="009A3836">
        <w:rPr>
          <w:rFonts w:ascii="Times New Roman" w:hAnsi="Times New Roman"/>
          <w:color w:val="000000" w:themeColor="text1"/>
          <w:sz w:val="28"/>
          <w:szCs w:val="28"/>
        </w:rPr>
        <w:t>плановых заданий по добыче нефти и газа.</w:t>
      </w:r>
    </w:p>
    <w:p w14:paraId="6401AED5" w14:textId="77777777" w:rsidR="00BF02CC" w:rsidRPr="009A3836" w:rsidRDefault="00BF02CC" w:rsidP="00D93A9B">
      <w:pPr>
        <w:widowControl w:val="0"/>
        <w:spacing w:after="0" w:line="360" w:lineRule="auto"/>
        <w:ind w:firstLine="709"/>
        <w:jc w:val="both"/>
        <w:rPr>
          <w:rFonts w:ascii="Times New Roman" w:hAnsi="Times New Roman"/>
          <w:color w:val="000000" w:themeColor="text1"/>
          <w:sz w:val="28"/>
          <w:szCs w:val="28"/>
        </w:rPr>
      </w:pPr>
      <w:r w:rsidRPr="009A3836">
        <w:rPr>
          <w:rFonts w:ascii="Times New Roman" w:hAnsi="Times New Roman"/>
          <w:color w:val="000000" w:themeColor="text1"/>
          <w:sz w:val="28"/>
          <w:szCs w:val="28"/>
        </w:rPr>
        <w:t>Целями и задачами этой практики являлось: усвоение теоретических знаний технологических процессов  добычи нефти и газа в соответствии с требованиями техники безопасности, научиться работать с коллегами, узнать больше о технологии добычи нефти и газа, ремонтных и исследовательских работах на скважинах и многое другое.</w:t>
      </w:r>
    </w:p>
    <w:p w14:paraId="2F9D1991" w14:textId="0F407D6D" w:rsidR="00D93A9B" w:rsidRPr="009A3836" w:rsidRDefault="00D93A9B" w:rsidP="00D93A9B">
      <w:pPr>
        <w:widowControl w:val="0"/>
        <w:spacing w:after="0" w:line="360" w:lineRule="auto"/>
        <w:ind w:firstLine="709"/>
        <w:jc w:val="both"/>
        <w:rPr>
          <w:rFonts w:ascii="Times New Roman" w:hAnsi="Times New Roman"/>
          <w:color w:val="000000" w:themeColor="text1"/>
          <w:sz w:val="28"/>
          <w:szCs w:val="28"/>
        </w:rPr>
      </w:pPr>
      <w:r w:rsidRPr="009A3836">
        <w:rPr>
          <w:rFonts w:ascii="Times New Roman" w:hAnsi="Times New Roman"/>
          <w:color w:val="000000" w:themeColor="text1"/>
          <w:sz w:val="28"/>
          <w:szCs w:val="28"/>
        </w:rPr>
        <w:t xml:space="preserve">В период с </w:t>
      </w:r>
      <w:r w:rsidRPr="00EC7AF8">
        <w:rPr>
          <w:rFonts w:ascii="Times New Roman" w:hAnsi="Times New Roman"/>
          <w:color w:val="000000" w:themeColor="text1"/>
          <w:sz w:val="28"/>
          <w:szCs w:val="28"/>
          <w:highlight w:val="yellow"/>
        </w:rPr>
        <w:t>2</w:t>
      </w:r>
      <w:r w:rsidR="00DC677D" w:rsidRPr="00EC7AF8">
        <w:rPr>
          <w:rFonts w:ascii="Times New Roman" w:hAnsi="Times New Roman"/>
          <w:color w:val="000000" w:themeColor="text1"/>
          <w:sz w:val="28"/>
          <w:szCs w:val="28"/>
          <w:highlight w:val="yellow"/>
        </w:rPr>
        <w:t>4</w:t>
      </w:r>
      <w:r w:rsidRPr="00EC7AF8">
        <w:rPr>
          <w:rFonts w:ascii="Times New Roman" w:hAnsi="Times New Roman"/>
          <w:color w:val="000000" w:themeColor="text1"/>
          <w:sz w:val="28"/>
          <w:szCs w:val="28"/>
          <w:highlight w:val="yellow"/>
        </w:rPr>
        <w:t>.05.202</w:t>
      </w:r>
      <w:r w:rsidR="009A3836" w:rsidRPr="00EC7AF8">
        <w:rPr>
          <w:rFonts w:ascii="Times New Roman" w:hAnsi="Times New Roman"/>
          <w:color w:val="000000" w:themeColor="text1"/>
          <w:sz w:val="28"/>
          <w:szCs w:val="28"/>
          <w:highlight w:val="yellow"/>
        </w:rPr>
        <w:t>4</w:t>
      </w:r>
      <w:r w:rsidRPr="00EC7AF8">
        <w:rPr>
          <w:rFonts w:ascii="Times New Roman" w:hAnsi="Times New Roman"/>
          <w:color w:val="000000" w:themeColor="text1"/>
          <w:sz w:val="28"/>
          <w:szCs w:val="28"/>
          <w:highlight w:val="yellow"/>
        </w:rPr>
        <w:t xml:space="preserve"> г.  по 2</w:t>
      </w:r>
      <w:r w:rsidR="00DC677D" w:rsidRPr="00EC7AF8">
        <w:rPr>
          <w:rFonts w:ascii="Times New Roman" w:hAnsi="Times New Roman"/>
          <w:color w:val="000000" w:themeColor="text1"/>
          <w:sz w:val="28"/>
          <w:szCs w:val="28"/>
          <w:highlight w:val="yellow"/>
        </w:rPr>
        <w:t>7</w:t>
      </w:r>
      <w:r w:rsidRPr="00EC7AF8">
        <w:rPr>
          <w:rFonts w:ascii="Times New Roman" w:hAnsi="Times New Roman"/>
          <w:color w:val="000000" w:themeColor="text1"/>
          <w:sz w:val="28"/>
          <w:szCs w:val="28"/>
          <w:highlight w:val="yellow"/>
        </w:rPr>
        <w:t>.06.202</w:t>
      </w:r>
      <w:r w:rsidR="009A3836" w:rsidRPr="00EC7AF8">
        <w:rPr>
          <w:rFonts w:ascii="Times New Roman" w:hAnsi="Times New Roman"/>
          <w:color w:val="000000" w:themeColor="text1"/>
          <w:sz w:val="28"/>
          <w:szCs w:val="28"/>
          <w:highlight w:val="yellow"/>
        </w:rPr>
        <w:t>4</w:t>
      </w:r>
      <w:r w:rsidRPr="009A3836">
        <w:rPr>
          <w:rFonts w:ascii="Times New Roman" w:hAnsi="Times New Roman"/>
          <w:color w:val="000000" w:themeColor="text1"/>
          <w:sz w:val="28"/>
          <w:szCs w:val="28"/>
        </w:rPr>
        <w:t xml:space="preserve"> г. я проходил практику в </w:t>
      </w:r>
      <w:r w:rsidRPr="00EC7AF8">
        <w:rPr>
          <w:rFonts w:ascii="Times New Roman" w:hAnsi="Times New Roman"/>
          <w:color w:val="000000" w:themeColor="text1"/>
          <w:sz w:val="28"/>
          <w:szCs w:val="28"/>
          <w:highlight w:val="yellow"/>
        </w:rPr>
        <w:t>ЦДНГ-</w:t>
      </w:r>
      <w:r w:rsidR="009A3836" w:rsidRPr="00EC7AF8">
        <w:rPr>
          <w:rFonts w:ascii="Times New Roman" w:hAnsi="Times New Roman"/>
          <w:color w:val="000000" w:themeColor="text1"/>
          <w:sz w:val="28"/>
          <w:szCs w:val="28"/>
          <w:highlight w:val="yellow"/>
        </w:rPr>
        <w:t>2</w:t>
      </w:r>
      <w:r w:rsidRPr="009A3836">
        <w:rPr>
          <w:rFonts w:ascii="Times New Roman" w:hAnsi="Times New Roman"/>
          <w:color w:val="000000" w:themeColor="text1"/>
          <w:sz w:val="28"/>
          <w:szCs w:val="28"/>
        </w:rPr>
        <w:t xml:space="preserve"> НГДУ «Лянторнефть», изучал нефтегазодобывающее управление «Лянторнефть» в пределах Лянторского месторождения. </w:t>
      </w:r>
    </w:p>
    <w:p w14:paraId="38EA90A4" w14:textId="77777777" w:rsidR="00BF02CC" w:rsidRPr="009A3836" w:rsidRDefault="00BF02CC" w:rsidP="00D93A9B">
      <w:pPr>
        <w:widowControl w:val="0"/>
        <w:spacing w:after="0" w:line="360" w:lineRule="auto"/>
        <w:ind w:firstLine="709"/>
        <w:jc w:val="both"/>
        <w:rPr>
          <w:rFonts w:ascii="Times New Roman" w:hAnsi="Times New Roman"/>
          <w:color w:val="000000" w:themeColor="text1"/>
          <w:sz w:val="28"/>
          <w:szCs w:val="28"/>
        </w:rPr>
      </w:pPr>
    </w:p>
    <w:p w14:paraId="19BBA990" w14:textId="77777777" w:rsidR="00BF02CC" w:rsidRDefault="00BF02CC" w:rsidP="00D93A9B">
      <w:pPr>
        <w:widowControl w:val="0"/>
        <w:spacing w:after="0" w:line="360" w:lineRule="auto"/>
        <w:ind w:firstLine="709"/>
        <w:jc w:val="both"/>
        <w:rPr>
          <w:rFonts w:ascii="Times New Roman" w:hAnsi="Times New Roman"/>
          <w:sz w:val="28"/>
          <w:szCs w:val="28"/>
        </w:rPr>
      </w:pPr>
    </w:p>
    <w:p w14:paraId="4F64C5D0" w14:textId="77777777" w:rsidR="00BF02CC" w:rsidRDefault="00BF02CC" w:rsidP="00D93A9B">
      <w:pPr>
        <w:widowControl w:val="0"/>
        <w:spacing w:after="0" w:line="360" w:lineRule="auto"/>
        <w:ind w:firstLine="709"/>
        <w:jc w:val="both"/>
        <w:rPr>
          <w:rFonts w:ascii="Times New Roman" w:hAnsi="Times New Roman"/>
          <w:sz w:val="28"/>
          <w:szCs w:val="28"/>
        </w:rPr>
      </w:pPr>
    </w:p>
    <w:p w14:paraId="6805A7DC" w14:textId="77777777" w:rsidR="00BF02CC" w:rsidRDefault="00BF02CC" w:rsidP="00D93A9B">
      <w:pPr>
        <w:widowControl w:val="0"/>
        <w:spacing w:after="0" w:line="360" w:lineRule="auto"/>
        <w:ind w:firstLine="709"/>
        <w:jc w:val="both"/>
        <w:rPr>
          <w:rFonts w:ascii="Times New Roman" w:hAnsi="Times New Roman"/>
          <w:sz w:val="28"/>
          <w:szCs w:val="28"/>
        </w:rPr>
      </w:pPr>
    </w:p>
    <w:p w14:paraId="3C0580F5" w14:textId="77777777" w:rsidR="00BF02CC" w:rsidRDefault="00BF02CC" w:rsidP="00D93A9B">
      <w:pPr>
        <w:widowControl w:val="0"/>
        <w:spacing w:after="0" w:line="360" w:lineRule="auto"/>
        <w:ind w:firstLine="709"/>
        <w:jc w:val="both"/>
        <w:rPr>
          <w:rFonts w:ascii="Times New Roman" w:hAnsi="Times New Roman"/>
          <w:sz w:val="28"/>
          <w:szCs w:val="28"/>
        </w:rPr>
      </w:pPr>
    </w:p>
    <w:p w14:paraId="3A310F45" w14:textId="77777777" w:rsidR="00BF02CC" w:rsidRDefault="00BF02CC" w:rsidP="00D93A9B">
      <w:pPr>
        <w:widowControl w:val="0"/>
        <w:spacing w:after="0" w:line="360" w:lineRule="auto"/>
        <w:ind w:firstLine="709"/>
        <w:jc w:val="both"/>
        <w:rPr>
          <w:rFonts w:ascii="Times New Roman" w:hAnsi="Times New Roman"/>
          <w:sz w:val="28"/>
          <w:szCs w:val="28"/>
        </w:rPr>
      </w:pPr>
    </w:p>
    <w:p w14:paraId="0723A2DC" w14:textId="77777777" w:rsidR="00BF02CC" w:rsidRDefault="00BF02CC" w:rsidP="00D93A9B">
      <w:pPr>
        <w:widowControl w:val="0"/>
        <w:spacing w:after="0" w:line="360" w:lineRule="auto"/>
        <w:ind w:firstLine="709"/>
        <w:jc w:val="both"/>
        <w:rPr>
          <w:rFonts w:ascii="Times New Roman" w:hAnsi="Times New Roman"/>
          <w:sz w:val="28"/>
          <w:szCs w:val="28"/>
        </w:rPr>
      </w:pPr>
    </w:p>
    <w:p w14:paraId="7D2B8EC3" w14:textId="77777777" w:rsidR="00BF02CC" w:rsidRDefault="00BF02CC" w:rsidP="00D93A9B">
      <w:pPr>
        <w:widowControl w:val="0"/>
        <w:spacing w:after="0" w:line="360" w:lineRule="auto"/>
        <w:ind w:firstLine="709"/>
        <w:jc w:val="both"/>
        <w:rPr>
          <w:rFonts w:ascii="Times New Roman" w:hAnsi="Times New Roman"/>
          <w:sz w:val="28"/>
          <w:szCs w:val="28"/>
        </w:rPr>
      </w:pPr>
    </w:p>
    <w:p w14:paraId="0B10BB90" w14:textId="77777777" w:rsidR="00BF02CC" w:rsidRDefault="00BF02CC" w:rsidP="00D93A9B">
      <w:pPr>
        <w:widowControl w:val="0"/>
        <w:spacing w:after="0" w:line="360" w:lineRule="auto"/>
        <w:ind w:firstLine="709"/>
        <w:jc w:val="both"/>
        <w:rPr>
          <w:rFonts w:ascii="Times New Roman" w:hAnsi="Times New Roman"/>
          <w:sz w:val="28"/>
          <w:szCs w:val="28"/>
        </w:rPr>
      </w:pPr>
    </w:p>
    <w:p w14:paraId="1BF84C5F" w14:textId="05B18AA0" w:rsidR="00D93A9B" w:rsidRDefault="00D93A9B">
      <w:pPr>
        <w:rPr>
          <w:rFonts w:ascii="Times New Roman" w:hAnsi="Times New Roman"/>
          <w:sz w:val="28"/>
          <w:szCs w:val="28"/>
        </w:rPr>
      </w:pPr>
      <w:r>
        <w:rPr>
          <w:rFonts w:ascii="Times New Roman" w:hAnsi="Times New Roman"/>
          <w:sz w:val="28"/>
          <w:szCs w:val="28"/>
        </w:rPr>
        <w:br w:type="page"/>
      </w:r>
      <w:r w:rsidR="009A3836">
        <w:rPr>
          <w:rFonts w:ascii="Times New Roman" w:hAnsi="Times New Roman"/>
          <w:sz w:val="28"/>
          <w:szCs w:val="28"/>
        </w:rPr>
        <w:lastRenderedPageBreak/>
        <w:t xml:space="preserve"> </w:t>
      </w:r>
    </w:p>
    <w:p w14:paraId="1F968FD0" w14:textId="77777777" w:rsidR="00BF02CC" w:rsidRDefault="00D93A9B"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w:t>
      </w:r>
      <w:r w:rsidR="00BF02CC">
        <w:rPr>
          <w:rFonts w:ascii="Times New Roman" w:hAnsi="Times New Roman"/>
          <w:sz w:val="28"/>
          <w:szCs w:val="28"/>
        </w:rPr>
        <w:t xml:space="preserve"> ОБЩЕЕ ПОЛОЖЕНИЕ ОБ ОХРАНЕ ТРУДА</w:t>
      </w:r>
    </w:p>
    <w:p w14:paraId="6E17D3FC" w14:textId="77777777" w:rsidR="00BF02CC" w:rsidRDefault="00BF02CC" w:rsidP="00D93A9B">
      <w:pPr>
        <w:widowControl w:val="0"/>
        <w:spacing w:after="0" w:line="360" w:lineRule="auto"/>
        <w:ind w:firstLine="709"/>
        <w:jc w:val="both"/>
        <w:rPr>
          <w:rFonts w:ascii="Times New Roman" w:hAnsi="Times New Roman"/>
          <w:sz w:val="16"/>
          <w:szCs w:val="16"/>
        </w:rPr>
      </w:pPr>
    </w:p>
    <w:p w14:paraId="232C57F2"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1.1 Охрана труда. Виды инструктажей</w:t>
      </w:r>
    </w:p>
    <w:p w14:paraId="773699E1" w14:textId="77777777" w:rsidR="00BF02CC" w:rsidRDefault="00BF02CC" w:rsidP="00D93A9B">
      <w:pPr>
        <w:widowControl w:val="0"/>
        <w:spacing w:after="0" w:line="360" w:lineRule="auto"/>
        <w:ind w:firstLine="709"/>
        <w:jc w:val="both"/>
        <w:rPr>
          <w:rFonts w:ascii="Times New Roman" w:hAnsi="Times New Roman"/>
          <w:sz w:val="28"/>
          <w:szCs w:val="28"/>
        </w:rPr>
      </w:pPr>
    </w:p>
    <w:p w14:paraId="04BA4B12"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Охрана труда - это комплекс организационных, правовых, лечебных, реабилитационных, профилактических и иных мер, проводимых работодателем в целях профилактики производственного травматизма. Любое производство потенциально опасно, ведь нигде не исключен контакт с ядовитыми, радиационными или химическими веществами, а также с движущимися и вращающимися частями деталей и механизмов. Для предотвращения несчастных случаев на предприятии действует специальная служба, курирующая соблюдение норм техники безопасности и охраны труда (ОТ и ТБ). Она ответственна за своевременное проведение инструктажей для новых работников, а также за последующую периодическую проверку знаний; кроме того, служба ОТ и ТБ должна проверять соответствие внешнего вида работников принятым нормам. По характеру и месту проведения различают следующие виды инструктажей: </w:t>
      </w:r>
    </w:p>
    <w:p w14:paraId="79DEAE9A"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t>Вводный инструктаж</w:t>
      </w:r>
      <w:r>
        <w:rPr>
          <w:rFonts w:ascii="Times New Roman" w:hAnsi="Times New Roman"/>
          <w:sz w:val="28"/>
          <w:szCs w:val="28"/>
        </w:rPr>
        <w:t> проводится со всеми вновь принимаемыми на работу независимо от их образования, стажа работы по данной профессии или должности, а также с командированными работниками, учащимися, студентами, прибывшими на производственное обучение или практику.</w:t>
      </w:r>
      <w:r>
        <w:rPr>
          <w:rFonts w:ascii="Times New Roman" w:hAnsi="Times New Roman"/>
          <w:sz w:val="28"/>
          <w:szCs w:val="28"/>
        </w:rPr>
        <w:br/>
        <w:t>Вводный инструктаж на предприятии проводит инженер по охране труда или лицо, на которое приказом по предприятию или решением правления возложены эти обязанности, а с учащимися в учебных заведениях - преподаватель или мастер производственного обучения.</w:t>
      </w:r>
    </w:p>
    <w:p w14:paraId="6EDD4B92" w14:textId="77777777" w:rsidR="00BF02CC" w:rsidRDefault="00BF02CC" w:rsidP="00D93A9B">
      <w:pPr>
        <w:widowControl w:val="0"/>
        <w:spacing w:after="0" w:line="360" w:lineRule="auto"/>
        <w:ind w:firstLine="709"/>
        <w:jc w:val="both"/>
        <w:rPr>
          <w:rFonts w:ascii="Times New Roman" w:hAnsi="Times New Roman"/>
          <w:bCs/>
          <w:sz w:val="28"/>
          <w:szCs w:val="28"/>
        </w:rPr>
      </w:pPr>
      <w:r>
        <w:rPr>
          <w:rFonts w:ascii="Times New Roman" w:hAnsi="Times New Roman"/>
          <w:sz w:val="28"/>
          <w:szCs w:val="28"/>
        </w:rPr>
        <w:t>Вводный инструктаж проводят в кабинете охраны труда или специально оборудованном помещении с использованием современных технических средств обучения и наглядных пособий (плакатов, натурных экспонатов, макетов, моделей, кинофильмов, диафильмов, видеофильмов и т.п.).</w:t>
      </w:r>
      <w:r>
        <w:rPr>
          <w:rFonts w:ascii="Times New Roman" w:hAnsi="Times New Roman"/>
          <w:sz w:val="28"/>
          <w:szCs w:val="28"/>
        </w:rPr>
        <w:br/>
        <w:t xml:space="preserve">О проведении вводного инструктажа делают запись в журнале регистрации </w:t>
      </w:r>
      <w:r>
        <w:rPr>
          <w:rFonts w:ascii="Times New Roman" w:hAnsi="Times New Roman"/>
          <w:sz w:val="28"/>
          <w:szCs w:val="28"/>
        </w:rPr>
        <w:lastRenderedPageBreak/>
        <w:t>вводного инструктажа (приложение 4 ГОСТ 12.0.004-90 "ССБТ. Организация обучения безопасности труда. Общие положения") с обязательной подписью инструктируемого и инструктирующего, а также в документе о приеме на работу (форма Т-1).    </w:t>
      </w:r>
    </w:p>
    <w:p w14:paraId="3AA9032B" w14:textId="77777777" w:rsidR="00BF02CC" w:rsidRDefault="00BF02CC" w:rsidP="00D93A9B">
      <w:pPr>
        <w:widowControl w:val="0"/>
        <w:tabs>
          <w:tab w:val="left" w:pos="9355"/>
        </w:tabs>
        <w:spacing w:after="0" w:line="360" w:lineRule="auto"/>
        <w:ind w:firstLine="709"/>
        <w:jc w:val="both"/>
        <w:rPr>
          <w:rFonts w:ascii="Times New Roman" w:hAnsi="Times New Roman"/>
          <w:sz w:val="28"/>
          <w:szCs w:val="28"/>
        </w:rPr>
      </w:pPr>
      <w:r>
        <w:rPr>
          <w:rFonts w:ascii="Times New Roman" w:hAnsi="Times New Roman"/>
          <w:sz w:val="28"/>
          <w:szCs w:val="28"/>
        </w:rPr>
        <w:t>Первичный инструктаж на рабочем месте до начала производственной деятельности проводят:</w:t>
      </w:r>
    </w:p>
    <w:p w14:paraId="00EB6E74" w14:textId="77777777" w:rsidR="00BF02CC" w:rsidRPr="00D93A9B" w:rsidRDefault="00BF02CC" w:rsidP="00D93A9B">
      <w:pPr>
        <w:pStyle w:val="a8"/>
        <w:widowControl w:val="0"/>
        <w:numPr>
          <w:ilvl w:val="0"/>
          <w:numId w:val="12"/>
        </w:numPr>
        <w:tabs>
          <w:tab w:val="left" w:pos="993"/>
          <w:tab w:val="left" w:pos="9355"/>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со всеми вновь принятыми на предприятие, переводимыми из одного подразделения в другое;</w:t>
      </w:r>
    </w:p>
    <w:p w14:paraId="62F905D8" w14:textId="77777777" w:rsidR="00BF02CC" w:rsidRPr="00D93A9B" w:rsidRDefault="00BF02CC" w:rsidP="00D93A9B">
      <w:pPr>
        <w:pStyle w:val="a8"/>
        <w:widowControl w:val="0"/>
        <w:numPr>
          <w:ilvl w:val="0"/>
          <w:numId w:val="12"/>
        </w:numPr>
        <w:tabs>
          <w:tab w:val="left" w:pos="993"/>
          <w:tab w:val="left" w:pos="9355"/>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с работниками, выполняющими новую для них работ командированными, временными работниками;</w:t>
      </w:r>
    </w:p>
    <w:p w14:paraId="06622809" w14:textId="77777777" w:rsidR="00BF02CC" w:rsidRPr="00D93A9B" w:rsidRDefault="00BF02CC" w:rsidP="00D93A9B">
      <w:pPr>
        <w:pStyle w:val="a8"/>
        <w:widowControl w:val="0"/>
        <w:numPr>
          <w:ilvl w:val="0"/>
          <w:numId w:val="12"/>
        </w:numPr>
        <w:tabs>
          <w:tab w:val="left" w:pos="993"/>
          <w:tab w:val="left" w:pos="9355"/>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со строителями, выполняющими строительно-монтажные работы на территории действующего предприятия;</w:t>
      </w:r>
    </w:p>
    <w:p w14:paraId="7EA683CF" w14:textId="77777777" w:rsidR="00BF02CC" w:rsidRPr="00D93A9B" w:rsidRDefault="00BF02CC" w:rsidP="00D93A9B">
      <w:pPr>
        <w:pStyle w:val="a8"/>
        <w:widowControl w:val="0"/>
        <w:numPr>
          <w:ilvl w:val="0"/>
          <w:numId w:val="12"/>
        </w:numPr>
        <w:tabs>
          <w:tab w:val="left" w:pos="993"/>
          <w:tab w:val="left" w:pos="9355"/>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со студентами и учащимися, прибывшими на производственное обучение или практику перед выполнением новых видов работ, а также перед изучением каждой новой темы при проведении практических занятий в учебных лабораториях, классах, мастерских, участках, при проведении внешкольных занятий в кружках, секциях.</w:t>
      </w:r>
    </w:p>
    <w:p w14:paraId="551B9249" w14:textId="77777777" w:rsidR="00BF02CC" w:rsidRDefault="00BF02CC" w:rsidP="00D93A9B">
      <w:pPr>
        <w:widowControl w:val="0"/>
        <w:tabs>
          <w:tab w:val="left" w:pos="9355"/>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Первичный инструктаж на рабочем месте проводят по программам, разработанным и утвержденным руководителями производственных и структурных подразделений предприятия с учетом требований стандартов ССБТ, соответствующих правил, норм, и инструкций по охране труда, производственных инструкций и другой технической документации. Программы согласовывают с отделом охраны труда и профсоюзным комитетом подразделения, предприятия. </w:t>
      </w:r>
    </w:p>
    <w:p w14:paraId="1DC7DE8D" w14:textId="77777777" w:rsidR="00BF02CC" w:rsidRDefault="00BF02CC" w:rsidP="00D93A9B">
      <w:pPr>
        <w:widowControl w:val="0"/>
        <w:tabs>
          <w:tab w:val="left" w:pos="9355"/>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 Первичный инструктаж возможен с группой лиц, обслуживающих однотипное оборудование, и в пределах общего рабочего места. </w:t>
      </w:r>
    </w:p>
    <w:p w14:paraId="17B18D82" w14:textId="77777777" w:rsidR="00BF02CC" w:rsidRDefault="00BF02CC" w:rsidP="00D93A9B">
      <w:pPr>
        <w:widowControl w:val="0"/>
        <w:tabs>
          <w:tab w:val="left" w:pos="9355"/>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Все рабочие, в том числе выпускники профтехучилищ, учебно-производственных (курсовых) комбинатов, после первичного инструктажа на </w:t>
      </w:r>
      <w:r>
        <w:rPr>
          <w:rFonts w:ascii="Times New Roman" w:hAnsi="Times New Roman"/>
          <w:sz w:val="28"/>
          <w:szCs w:val="28"/>
        </w:rPr>
        <w:lastRenderedPageBreak/>
        <w:t xml:space="preserve">рабочем месте должны в течение первых 2-14 смен (в зависимости от характера работы, квалификации работника) пройти стажировку под руководством лиц, назначенных приказом (распоряжением, решением) по цеху (участку, кооперативу и т.п.). </w:t>
      </w:r>
    </w:p>
    <w:p w14:paraId="118E763E" w14:textId="77777777" w:rsidR="00BF02CC" w:rsidRDefault="00BF02CC" w:rsidP="00D93A9B">
      <w:pPr>
        <w:widowControl w:val="0"/>
        <w:tabs>
          <w:tab w:val="left" w:pos="9355"/>
        </w:tabs>
        <w:spacing w:after="0" w:line="360" w:lineRule="auto"/>
        <w:ind w:firstLine="709"/>
        <w:jc w:val="both"/>
        <w:rPr>
          <w:rFonts w:ascii="Times New Roman" w:hAnsi="Times New Roman"/>
          <w:sz w:val="28"/>
          <w:szCs w:val="28"/>
        </w:rPr>
      </w:pPr>
      <w:r>
        <w:rPr>
          <w:rFonts w:ascii="Times New Roman" w:hAnsi="Times New Roman"/>
          <w:sz w:val="28"/>
          <w:szCs w:val="28"/>
        </w:rPr>
        <w:t>Рабочие допускаются к самостоятельной работе после стажировки, проверки теоретических знаний и приобретенных навыков безопасных способов работы.</w:t>
      </w:r>
    </w:p>
    <w:p w14:paraId="215ADCFA" w14:textId="77777777" w:rsidR="00BF02CC" w:rsidRDefault="00BF02CC" w:rsidP="00D93A9B">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Повторный инструктаж </w:t>
      </w:r>
      <w:r>
        <w:rPr>
          <w:rFonts w:ascii="Times New Roman" w:hAnsi="Times New Roman"/>
          <w:sz w:val="28"/>
          <w:szCs w:val="28"/>
        </w:rPr>
        <w:t>проводится с целью проверки и повышения уровня знаний работником правил и инструкций по охране труда индивидуально или с группой работников одной профессии или бригады по программе инструктажа на рабочем месте. Данный вид инструктажа должны проходить все работающие не реже чем через 12 месяцев после проведения очередного инструктажа, за исключением тех работников, которые не связаны с использованием в их трудовой деятельности инструментов и оборудования.</w:t>
      </w:r>
    </w:p>
    <w:p w14:paraId="35DC1BFE"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t>Внеплановый инструктаж</w:t>
      </w:r>
      <w:r>
        <w:rPr>
          <w:rFonts w:ascii="Times New Roman" w:hAnsi="Times New Roman"/>
          <w:sz w:val="28"/>
          <w:szCs w:val="28"/>
        </w:rPr>
        <w:t xml:space="preserve"> проводят: </w:t>
      </w:r>
    </w:p>
    <w:p w14:paraId="582AA974" w14:textId="77777777" w:rsidR="00BF02CC" w:rsidRPr="00D93A9B" w:rsidRDefault="00BF02CC" w:rsidP="00D93A9B">
      <w:pPr>
        <w:pStyle w:val="a8"/>
        <w:widowControl w:val="0"/>
        <w:numPr>
          <w:ilvl w:val="0"/>
          <w:numId w:val="13"/>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при введении в действие новых или переработанных стандартов, правил, инструкций по охране труда, а также изменений к ним;</w:t>
      </w:r>
    </w:p>
    <w:p w14:paraId="77B39A3C" w14:textId="77777777" w:rsidR="00BF02CC" w:rsidRPr="00D93A9B" w:rsidRDefault="00BF02CC" w:rsidP="00D93A9B">
      <w:pPr>
        <w:pStyle w:val="a8"/>
        <w:widowControl w:val="0"/>
        <w:numPr>
          <w:ilvl w:val="0"/>
          <w:numId w:val="13"/>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14:paraId="4030DA7F" w14:textId="77777777" w:rsidR="00BF02CC" w:rsidRPr="00D93A9B" w:rsidRDefault="00BF02CC" w:rsidP="00D93A9B">
      <w:pPr>
        <w:pStyle w:val="a8"/>
        <w:widowControl w:val="0"/>
        <w:numPr>
          <w:ilvl w:val="0"/>
          <w:numId w:val="13"/>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при нарушении работающими и учащимися требований безопасности труда, которые могут привести или привели к травме, аварии, взрыву или пожару, отравлению;</w:t>
      </w:r>
    </w:p>
    <w:p w14:paraId="2D3B06CA" w14:textId="77777777" w:rsidR="00BF02CC" w:rsidRPr="00D93A9B" w:rsidRDefault="00BF02CC" w:rsidP="00D93A9B">
      <w:pPr>
        <w:pStyle w:val="a8"/>
        <w:widowControl w:val="0"/>
        <w:numPr>
          <w:ilvl w:val="0"/>
          <w:numId w:val="13"/>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по требованию органов надзора;</w:t>
      </w:r>
    </w:p>
    <w:p w14:paraId="4C804641" w14:textId="77777777" w:rsidR="00BF02CC" w:rsidRPr="00D93A9B" w:rsidRDefault="00BF02CC" w:rsidP="00D93A9B">
      <w:pPr>
        <w:pStyle w:val="a8"/>
        <w:widowControl w:val="0"/>
        <w:numPr>
          <w:ilvl w:val="0"/>
          <w:numId w:val="13"/>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при перерывах в работе - для работ, к которым предъявляют дополнительные (повышенные) требования безопасности труда более чем на 30 календарных дней, а для остальных работ - 60 дней.</w:t>
      </w:r>
    </w:p>
    <w:p w14:paraId="70140167" w14:textId="77777777" w:rsidR="00BF02CC" w:rsidRDefault="00BF02CC" w:rsidP="00D93A9B">
      <w:pPr>
        <w:widowControl w:val="0"/>
        <w:spacing w:after="0" w:line="360" w:lineRule="auto"/>
        <w:ind w:firstLine="709"/>
        <w:jc w:val="both"/>
        <w:rPr>
          <w:rFonts w:ascii="Times New Roman" w:hAnsi="Times New Roman"/>
          <w:bCs/>
          <w:sz w:val="28"/>
          <w:szCs w:val="28"/>
        </w:rPr>
      </w:pPr>
      <w:r>
        <w:rPr>
          <w:rFonts w:ascii="Times New Roman" w:hAnsi="Times New Roman"/>
          <w:sz w:val="28"/>
          <w:szCs w:val="28"/>
        </w:rPr>
        <w:t xml:space="preserve">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w:t>
      </w:r>
      <w:r>
        <w:rPr>
          <w:rFonts w:ascii="Times New Roman" w:hAnsi="Times New Roman"/>
          <w:sz w:val="28"/>
          <w:szCs w:val="28"/>
        </w:rPr>
        <w:lastRenderedPageBreak/>
        <w:t>необходимость его проведения.</w:t>
      </w:r>
    </w:p>
    <w:p w14:paraId="4A86CBCC"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Целевой инструктаж </w:t>
      </w:r>
      <w:r>
        <w:rPr>
          <w:rFonts w:ascii="Times New Roman" w:hAnsi="Times New Roman"/>
          <w:sz w:val="28"/>
          <w:szCs w:val="28"/>
        </w:rPr>
        <w:t xml:space="preserve">необходимо проводить в случаях поручения работнику выполнения разовых работ, не связаны с прямыми трудовыми обязанностями работника по его основной специальности (погрузочно-разгрузочные работы, уборка территории, выполнение разовых работ вне территории данного юридического лица). Аналогичный инструктаж должен проводиться с работниками в случае поручения им выполнения работ по ликвидации последствий аварий, стихийных бедствий и катастроф, производства работ, на которые необходимо оформлять наряд-допуск, специальное разрешение и иные документы, а также в других случаях, предусмотренных правилами по охране труда. </w:t>
      </w:r>
    </w:p>
    <w:p w14:paraId="304522DC" w14:textId="77777777" w:rsidR="00BF02CC" w:rsidRDefault="00BF02CC" w:rsidP="00D93A9B">
      <w:pPr>
        <w:widowControl w:val="0"/>
        <w:spacing w:after="0" w:line="360" w:lineRule="auto"/>
        <w:ind w:firstLine="709"/>
        <w:jc w:val="both"/>
        <w:rPr>
          <w:rFonts w:ascii="Times New Roman" w:hAnsi="Times New Roman"/>
          <w:bCs/>
          <w:sz w:val="28"/>
          <w:szCs w:val="28"/>
        </w:rPr>
      </w:pPr>
      <w:r>
        <w:rPr>
          <w:rFonts w:ascii="Times New Roman" w:hAnsi="Times New Roman"/>
          <w:sz w:val="28"/>
          <w:szCs w:val="28"/>
        </w:rPr>
        <w:t>Первичный инструктаж на рабочем месте, повторный, внеплановый и целевой осуществляется непосредственным руководителем работ. Инструктаж на рабочем месте должен завершаться проверкой знаний инструктируемого посредством устного опроса или с помощью технических средств обучения, а также фактической проверкой приобретенных навыков безопасных приемов работы. Оценку знаний работников осуществляет тот же руководитель, который проводил соответствующий инструктаж.</w:t>
      </w:r>
    </w:p>
    <w:p w14:paraId="67570BEA"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Проведение всех видов инструктажей регистрируется в соответствующих журналах проведения инструктажей (в установленных случаях - в наряде-допуске на </w:t>
      </w:r>
      <w:hyperlink r:id="rId7" w:tooltip="Производство" w:history="1">
        <w:r w:rsidRPr="00D93A9B">
          <w:rPr>
            <w:rStyle w:val="a9"/>
            <w:rFonts w:ascii="Times New Roman" w:hAnsi="Times New Roman"/>
            <w:color w:val="auto"/>
            <w:sz w:val="28"/>
            <w:szCs w:val="28"/>
            <w:u w:val="none"/>
          </w:rPr>
          <w:t>производство</w:t>
        </w:r>
      </w:hyperlink>
      <w:r w:rsidRPr="00D93A9B">
        <w:rPr>
          <w:rFonts w:ascii="Times New Roman" w:hAnsi="Times New Roman"/>
          <w:sz w:val="28"/>
          <w:szCs w:val="28"/>
        </w:rPr>
        <w:t> </w:t>
      </w:r>
      <w:r>
        <w:rPr>
          <w:rFonts w:ascii="Times New Roman" w:hAnsi="Times New Roman"/>
          <w:sz w:val="28"/>
          <w:szCs w:val="28"/>
        </w:rPr>
        <w:t>работ) с указанием подписи инструктируемого и подписи инструктирующего, а также даты проведения.</w:t>
      </w:r>
    </w:p>
    <w:p w14:paraId="1171007A"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Ответственность за обеспечение мер пожарной безопасности несёт руководитель или лицо, временно исполняющее его обязанности.</w:t>
      </w:r>
      <w:r>
        <w:rPr>
          <w:rFonts w:ascii="Times New Roman" w:hAnsi="Times New Roman"/>
          <w:sz w:val="28"/>
          <w:szCs w:val="28"/>
        </w:rPr>
        <w:br/>
        <w:t>Все сотрудники должны допускаться к работе только после прохождения инструктажа по мерам пожарной безопасности, проводящегося 1 раз в год.</w:t>
      </w:r>
      <w:r>
        <w:rPr>
          <w:rFonts w:ascii="Times New Roman" w:hAnsi="Times New Roman"/>
          <w:sz w:val="28"/>
          <w:szCs w:val="28"/>
        </w:rPr>
        <w:br/>
        <w:t>Лица виновные в нарушении правил пожарной безопасности в зависимости от характера нарушений и последствий несут ответственность в соответствии с действующим законодательством и правилами внутреннего распорядка.</w:t>
      </w:r>
      <w:r>
        <w:rPr>
          <w:rFonts w:ascii="Times New Roman" w:hAnsi="Times New Roman"/>
          <w:sz w:val="28"/>
          <w:szCs w:val="28"/>
        </w:rPr>
        <w:br/>
        <w:t xml:space="preserve">Руководитель и ответственные за обеспечение пожарной безопасности </w:t>
      </w:r>
      <w:r>
        <w:rPr>
          <w:rFonts w:ascii="Times New Roman" w:hAnsi="Times New Roman"/>
          <w:sz w:val="28"/>
          <w:szCs w:val="28"/>
        </w:rPr>
        <w:lastRenderedPageBreak/>
        <w:t>обеспечивают своевременное выполнение норм и правил пожарной безопасности, а также предписаний, постановлений и иных законных требований государственных инспекторов по пожарному надзору.</w:t>
      </w:r>
      <w:r>
        <w:rPr>
          <w:rFonts w:ascii="Times New Roman" w:hAnsi="Times New Roman"/>
          <w:sz w:val="28"/>
          <w:szCs w:val="28"/>
        </w:rPr>
        <w:br/>
        <w:t>Сотрудники обязаны:</w:t>
      </w:r>
    </w:p>
    <w:p w14:paraId="372C1473" w14:textId="77777777" w:rsidR="00BF02CC" w:rsidRPr="00D93A9B" w:rsidRDefault="00BF02CC" w:rsidP="00D93A9B">
      <w:pPr>
        <w:pStyle w:val="a8"/>
        <w:widowControl w:val="0"/>
        <w:numPr>
          <w:ilvl w:val="0"/>
          <w:numId w:val="14"/>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соблюдать на рабочих местах требования правил пожарной безопасности и поддерживать противопожарный режим;</w:t>
      </w:r>
    </w:p>
    <w:p w14:paraId="3119483C" w14:textId="77777777" w:rsidR="00BF02CC" w:rsidRPr="00D93A9B" w:rsidRDefault="00BF02CC" w:rsidP="00D93A9B">
      <w:pPr>
        <w:pStyle w:val="a8"/>
        <w:widowControl w:val="0"/>
        <w:numPr>
          <w:ilvl w:val="0"/>
          <w:numId w:val="14"/>
        </w:numPr>
        <w:tabs>
          <w:tab w:val="left" w:pos="993"/>
        </w:tabs>
        <w:spacing w:after="0" w:line="360" w:lineRule="auto"/>
        <w:ind w:left="0" w:firstLine="709"/>
        <w:jc w:val="both"/>
        <w:rPr>
          <w:rFonts w:ascii="Times New Roman" w:hAnsi="Times New Roman"/>
          <w:bCs/>
          <w:sz w:val="28"/>
          <w:szCs w:val="28"/>
        </w:rPr>
      </w:pPr>
      <w:r w:rsidRPr="00D93A9B">
        <w:rPr>
          <w:rFonts w:ascii="Times New Roman" w:hAnsi="Times New Roman"/>
          <w:sz w:val="28"/>
          <w:szCs w:val="28"/>
        </w:rPr>
        <w:t>выполнять меры безопасности при пользовании электроприборами (компьютеры, кондиционеры, электроплитки, электрочайники, холодильники и т.д.), газовыми приборами, пожароопасными веществами и материалами.</w:t>
      </w:r>
    </w:p>
    <w:p w14:paraId="31F4F213" w14:textId="77777777" w:rsidR="00BF02CC" w:rsidRPr="00D93A9B" w:rsidRDefault="00BF02CC" w:rsidP="00D93A9B">
      <w:pPr>
        <w:pStyle w:val="a8"/>
        <w:widowControl w:val="0"/>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Каждый сотрудник при обнаружении пожара или признаков горения (запах гари, задымление и т.п.) обязан:</w:t>
      </w:r>
    </w:p>
    <w:p w14:paraId="1CF7994C" w14:textId="77777777" w:rsidR="00BF02CC" w:rsidRPr="00D93A9B" w:rsidRDefault="00BF02CC" w:rsidP="00D93A9B">
      <w:pPr>
        <w:pStyle w:val="a8"/>
        <w:widowControl w:val="0"/>
        <w:numPr>
          <w:ilvl w:val="0"/>
          <w:numId w:val="14"/>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немедленно сообщить об этом в пожарную охрану по телефону 01;</w:t>
      </w:r>
      <w:r w:rsidRPr="00D93A9B">
        <w:rPr>
          <w:rFonts w:ascii="Times New Roman" w:hAnsi="Times New Roman"/>
          <w:sz w:val="28"/>
          <w:szCs w:val="28"/>
        </w:rPr>
        <w:br/>
        <w:t xml:space="preserve">        -оповестить о пожаре голосом людей, находящихся в помещении, закрыть окна, двери;</w:t>
      </w:r>
    </w:p>
    <w:p w14:paraId="61C0BCA4" w14:textId="77777777" w:rsidR="00BF02CC" w:rsidRPr="00D93A9B" w:rsidRDefault="00BF02CC" w:rsidP="00D93A9B">
      <w:pPr>
        <w:pStyle w:val="a8"/>
        <w:widowControl w:val="0"/>
        <w:numPr>
          <w:ilvl w:val="0"/>
          <w:numId w:val="14"/>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принять по возможности меры по эвакуации людей, тушению пожара при помощи первичных </w:t>
      </w:r>
      <w:hyperlink r:id="rId8" w:tooltip="Средства пожаротушения" w:history="1">
        <w:r w:rsidRPr="00D93A9B">
          <w:rPr>
            <w:rStyle w:val="a9"/>
            <w:rFonts w:ascii="Times New Roman" w:hAnsi="Times New Roman"/>
            <w:color w:val="auto"/>
            <w:sz w:val="28"/>
            <w:szCs w:val="28"/>
            <w:u w:val="none"/>
          </w:rPr>
          <w:t>средств пожаротушения</w:t>
        </w:r>
      </w:hyperlink>
      <w:r w:rsidRPr="00D93A9B">
        <w:rPr>
          <w:rFonts w:ascii="Times New Roman" w:hAnsi="Times New Roman"/>
          <w:sz w:val="28"/>
          <w:szCs w:val="28"/>
        </w:rPr>
        <w:t xml:space="preserve"> и по обеспечению сохранности материальных ценностей;</w:t>
      </w:r>
    </w:p>
    <w:p w14:paraId="3A11DD15" w14:textId="77777777" w:rsidR="00BF02CC" w:rsidRPr="00D93A9B" w:rsidRDefault="00BF02CC" w:rsidP="00D93A9B">
      <w:pPr>
        <w:pStyle w:val="a8"/>
        <w:widowControl w:val="0"/>
        <w:numPr>
          <w:ilvl w:val="0"/>
          <w:numId w:val="14"/>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в случае невозможности локализовать очаг пожара покинуть помещение в соответствии с планом эвакуации.</w:t>
      </w:r>
    </w:p>
    <w:p w14:paraId="5A5B51FC" w14:textId="77777777" w:rsidR="00BF02CC" w:rsidRPr="00D93A9B" w:rsidRDefault="00BF02CC" w:rsidP="00D93A9B">
      <w:pPr>
        <w:widowControl w:val="0"/>
        <w:spacing w:after="0" w:line="360" w:lineRule="auto"/>
        <w:ind w:firstLine="709"/>
        <w:jc w:val="both"/>
        <w:rPr>
          <w:rFonts w:ascii="Times New Roman" w:hAnsi="Times New Roman"/>
          <w:sz w:val="16"/>
          <w:szCs w:val="16"/>
        </w:rPr>
      </w:pPr>
    </w:p>
    <w:p w14:paraId="7C6504D6"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1.2 Организационная структура ЦДНГ НГДУ «Лянторнефть»</w:t>
      </w:r>
    </w:p>
    <w:p w14:paraId="4A779335" w14:textId="77777777" w:rsidR="00BF02CC" w:rsidRDefault="00BF02CC" w:rsidP="00D93A9B">
      <w:pPr>
        <w:widowControl w:val="0"/>
        <w:spacing w:after="0" w:line="360" w:lineRule="auto"/>
        <w:ind w:firstLine="709"/>
        <w:jc w:val="both"/>
        <w:rPr>
          <w:rFonts w:ascii="Times New Roman" w:hAnsi="Times New Roman"/>
          <w:sz w:val="28"/>
          <w:szCs w:val="28"/>
        </w:rPr>
      </w:pPr>
    </w:p>
    <w:p w14:paraId="68572FB1"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ЦДНГ является структурным подразделением нефтегазодобывающего управления «Лянторнефть». Цех осуществляет добычу, сбор, подготовку и внутрипромысловый транспорт нефти и газа.  </w:t>
      </w:r>
    </w:p>
    <w:p w14:paraId="73CD9887"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НГДУ «Лянторнефть» применяется линейно-функциональная структура управления, как непосредственно, так и в цехах.</w:t>
      </w:r>
    </w:p>
    <w:p w14:paraId="31615D38"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Мастер по добыче нефти</w:t>
      </w:r>
      <w:r w:rsidR="00D93A9B">
        <w:rPr>
          <w:rFonts w:ascii="Times New Roman" w:hAnsi="Times New Roman"/>
          <w:sz w:val="28"/>
          <w:szCs w:val="28"/>
        </w:rPr>
        <w:t>,</w:t>
      </w:r>
      <w:r>
        <w:rPr>
          <w:rFonts w:ascii="Times New Roman" w:hAnsi="Times New Roman"/>
          <w:sz w:val="28"/>
          <w:szCs w:val="28"/>
        </w:rPr>
        <w:t xml:space="preserve"> газа и конденсата бригад:</w:t>
      </w:r>
    </w:p>
    <w:p w14:paraId="7F41EFA7"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обеспечивают выполнение производственного задания по добыче нефти   и газа;</w:t>
      </w:r>
    </w:p>
    <w:p w14:paraId="1F93D05B"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lastRenderedPageBreak/>
        <w:t>организовывают   обслуживания   скважин и других    производственных объектов в соответствии с графиками и режимами;</w:t>
      </w:r>
    </w:p>
    <w:p w14:paraId="04AD021D"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контролируют и принимают скважин после ремонта;</w:t>
      </w:r>
    </w:p>
    <w:p w14:paraId="7C36B7D9"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подготавливают объект к осенне-зимнему периоду;</w:t>
      </w:r>
    </w:p>
    <w:p w14:paraId="5A37EB34"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проводят инструктажи по технике безопасности и производственной санитарии;</w:t>
      </w:r>
    </w:p>
    <w:p w14:paraId="2E470EF8"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 xml:space="preserve">занимаются ведением первичной документации;   </w:t>
      </w:r>
    </w:p>
    <w:p w14:paraId="77161B34" w14:textId="77777777" w:rsidR="00BF02CC" w:rsidRPr="00D93A9B" w:rsidRDefault="00BF02CC" w:rsidP="00D93A9B">
      <w:pPr>
        <w:pStyle w:val="a8"/>
        <w:widowControl w:val="0"/>
        <w:tabs>
          <w:tab w:val="left" w:pos="993"/>
        </w:tabs>
        <w:spacing w:after="0" w:line="360" w:lineRule="auto"/>
        <w:ind w:left="709"/>
        <w:jc w:val="both"/>
        <w:rPr>
          <w:rFonts w:ascii="Times New Roman" w:hAnsi="Times New Roman"/>
          <w:sz w:val="28"/>
          <w:szCs w:val="28"/>
        </w:rPr>
      </w:pPr>
      <w:r w:rsidRPr="00D93A9B">
        <w:rPr>
          <w:rFonts w:ascii="Times New Roman" w:hAnsi="Times New Roman"/>
          <w:sz w:val="28"/>
          <w:szCs w:val="28"/>
        </w:rPr>
        <w:t>В обязанности бригады по добычи нефти и газа входит:</w:t>
      </w:r>
    </w:p>
    <w:p w14:paraId="261E954D"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обеспечение работы эксплуатационных скважин;</w:t>
      </w:r>
    </w:p>
    <w:p w14:paraId="7E5264BD"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промыслово-гидродинамические исследования;</w:t>
      </w:r>
    </w:p>
    <w:p w14:paraId="39EFA896"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отбор проб;</w:t>
      </w:r>
    </w:p>
    <w:p w14:paraId="3A235B22" w14:textId="77777777" w:rsidR="00BF02CC" w:rsidRPr="00D93A9B" w:rsidRDefault="00BF02CC" w:rsidP="00D93A9B">
      <w:pPr>
        <w:pStyle w:val="a8"/>
        <w:widowControl w:val="0"/>
        <w:numPr>
          <w:ilvl w:val="0"/>
          <w:numId w:val="15"/>
        </w:numPr>
        <w:tabs>
          <w:tab w:val="left" w:pos="993"/>
        </w:tabs>
        <w:spacing w:after="0" w:line="360" w:lineRule="auto"/>
        <w:ind w:left="0" w:firstLine="709"/>
        <w:jc w:val="both"/>
        <w:rPr>
          <w:rFonts w:ascii="Times New Roman" w:hAnsi="Times New Roman"/>
          <w:sz w:val="28"/>
          <w:szCs w:val="28"/>
        </w:rPr>
      </w:pPr>
      <w:r w:rsidRPr="00D93A9B">
        <w:rPr>
          <w:rFonts w:ascii="Times New Roman" w:hAnsi="Times New Roman"/>
          <w:sz w:val="28"/>
          <w:szCs w:val="28"/>
        </w:rPr>
        <w:t>осмотр, ревизия трубопроводов.</w:t>
      </w:r>
    </w:p>
    <w:p w14:paraId="796BFC9E" w14:textId="77777777" w:rsidR="00BF02CC" w:rsidRPr="00D93A9B" w:rsidRDefault="00BF02CC" w:rsidP="00D93A9B">
      <w:pPr>
        <w:widowControl w:val="0"/>
        <w:spacing w:after="0" w:line="360" w:lineRule="auto"/>
        <w:ind w:firstLine="709"/>
        <w:jc w:val="both"/>
        <w:rPr>
          <w:rFonts w:ascii="Times New Roman" w:hAnsi="Times New Roman"/>
          <w:sz w:val="16"/>
          <w:szCs w:val="16"/>
        </w:rPr>
      </w:pPr>
    </w:p>
    <w:p w14:paraId="3EC72E5D"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1.3 Охрана недр и окружающей среды в НГДУ «Лянторнефть»</w:t>
      </w:r>
    </w:p>
    <w:p w14:paraId="7A4A6E16" w14:textId="77777777" w:rsidR="00BF02CC" w:rsidRDefault="00BF02CC" w:rsidP="00D93A9B">
      <w:pPr>
        <w:widowControl w:val="0"/>
        <w:spacing w:after="0" w:line="360" w:lineRule="auto"/>
        <w:ind w:firstLine="709"/>
        <w:jc w:val="both"/>
        <w:rPr>
          <w:rFonts w:ascii="Times New Roman" w:hAnsi="Times New Roman"/>
          <w:sz w:val="28"/>
          <w:szCs w:val="28"/>
        </w:rPr>
      </w:pPr>
    </w:p>
    <w:p w14:paraId="146E4D10"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Нефтяная и газовая промышленности остаются потенциально опасными по загрязнению окружающей среды и ее отдельных объектов. Возможное воздействие их на основные компоненты окружающей среды (воздух, воду, почву, растительный, животный мир и человека) обусловлено токсичностью природных углеводородов, их спутников, большим разнообразием химических ве</w:t>
      </w:r>
      <w:r>
        <w:rPr>
          <w:rFonts w:ascii="Times New Roman" w:hAnsi="Times New Roman"/>
          <w:sz w:val="28"/>
          <w:szCs w:val="28"/>
        </w:rPr>
        <w:softHyphen/>
        <w:t xml:space="preserve">ществ, используемых в технологических процессах. </w:t>
      </w:r>
    </w:p>
    <w:p w14:paraId="668F1715"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Промысловые объекты нашего управления расположены на месторождениях, рельеф которых осложнен большим количеством рек, озер, непроходимых болот, высоким уровнем грунтовых вод. </w:t>
      </w:r>
    </w:p>
    <w:p w14:paraId="1A756A48"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Большое количество кустовых площадок расположены в водо-охранной зоне реки Пим и малых рек, озер, болот. </w:t>
      </w:r>
    </w:p>
    <w:p w14:paraId="257B03FB" w14:textId="77777777" w:rsidR="00D93A9B" w:rsidRDefault="00BF02CC" w:rsidP="00D93A9B">
      <w:pPr>
        <w:widowControl w:val="0"/>
        <w:spacing w:after="0" w:line="360" w:lineRule="auto"/>
        <w:ind w:firstLine="709"/>
        <w:jc w:val="both"/>
        <w:rPr>
          <w:rFonts w:ascii="Times New Roman" w:eastAsia="Times New Roman" w:hAnsi="Times New Roman" w:cs="Times New Roman"/>
          <w:bCs/>
          <w:iCs/>
          <w:sz w:val="28"/>
          <w:szCs w:val="28"/>
        </w:rPr>
      </w:pPr>
      <w:r>
        <w:rPr>
          <w:rFonts w:ascii="Times New Roman" w:hAnsi="Times New Roman"/>
          <w:sz w:val="28"/>
          <w:szCs w:val="28"/>
        </w:rPr>
        <w:t>Все они сообщены между собой. В такой ситуации малейший разлив нефти приводит к экологической катастрофе.</w:t>
      </w:r>
      <w:r w:rsidR="00D93A9B">
        <w:rPr>
          <w:rFonts w:ascii="Times New Roman" w:hAnsi="Times New Roman"/>
          <w:b/>
          <w:i/>
          <w:sz w:val="28"/>
          <w:szCs w:val="28"/>
        </w:rPr>
        <w:br w:type="page"/>
      </w:r>
    </w:p>
    <w:p w14:paraId="7B547405"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lastRenderedPageBreak/>
        <w:t>2 ОБЩИЕ ПОНЯТИЯ О ДОБЫЧЕ НЕФТИ И ГАЗА. КОНТРОЛЬ ЗА РАБОТОЙ СКВАЖИН</w:t>
      </w:r>
    </w:p>
    <w:p w14:paraId="71F3DABA" w14:textId="77777777" w:rsidR="00BF02CC" w:rsidRPr="00D93A9B" w:rsidRDefault="00BF02CC" w:rsidP="00D93A9B">
      <w:pPr>
        <w:pStyle w:val="af2"/>
        <w:widowControl w:val="0"/>
        <w:spacing w:line="360" w:lineRule="auto"/>
        <w:ind w:firstLine="709"/>
        <w:jc w:val="both"/>
        <w:rPr>
          <w:rFonts w:ascii="Times New Roman" w:hAnsi="Times New Roman"/>
          <w:b w:val="0"/>
          <w:i w:val="0"/>
          <w:sz w:val="16"/>
          <w:szCs w:val="16"/>
          <w:u w:val="none"/>
        </w:rPr>
      </w:pPr>
    </w:p>
    <w:p w14:paraId="331AF59A"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2.1 Сведения о конструкции скважин</w:t>
      </w:r>
    </w:p>
    <w:p w14:paraId="2C4CDB4E"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p>
    <w:p w14:paraId="1B860852"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Скважиной называют горную выработку круглого сечения, у которой длина во много раз больше диаметра.</w:t>
      </w:r>
    </w:p>
    <w:p w14:paraId="7FF9E21D"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По назначению выделяют следующие скважины:</w:t>
      </w:r>
    </w:p>
    <w:p w14:paraId="306478CF" w14:textId="77777777" w:rsidR="00BF02CC" w:rsidRDefault="00BF02CC" w:rsidP="00D93A9B">
      <w:pPr>
        <w:pStyle w:val="af2"/>
        <w:widowControl w:val="0"/>
        <w:numPr>
          <w:ilvl w:val="0"/>
          <w:numId w:val="11"/>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добывающие - нефтяные и газовые, предназначенные для добычи нефти, газа и попутной воды;</w:t>
      </w:r>
    </w:p>
    <w:p w14:paraId="197B63DC" w14:textId="77777777" w:rsidR="00BF02CC" w:rsidRDefault="00BF02CC" w:rsidP="00D93A9B">
      <w:pPr>
        <w:pStyle w:val="af2"/>
        <w:widowControl w:val="0"/>
        <w:numPr>
          <w:ilvl w:val="0"/>
          <w:numId w:val="11"/>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нагнетательные - служащие для нагнетания в пласт воды, пара, газа и различных растворов;</w:t>
      </w:r>
    </w:p>
    <w:p w14:paraId="2DB2AD6A" w14:textId="77777777" w:rsidR="00BF02CC" w:rsidRDefault="00BF02CC" w:rsidP="00D93A9B">
      <w:pPr>
        <w:pStyle w:val="af2"/>
        <w:widowControl w:val="0"/>
        <w:numPr>
          <w:ilvl w:val="0"/>
          <w:numId w:val="11"/>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специальные - используемые для специфичных работ и исследований (контрольные, пьезометрические, водозаборные и т.д.).</w:t>
      </w:r>
    </w:p>
    <w:p w14:paraId="3AB381B7"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Оборудованием скважины называют части конструкции, которые обеспечивают отбор продукции (закачку воды) в надлежащем режиме, проведение всех технологических операций в процессе эксплуатации и предотвращают загрязнение окружающей среды. Обычно различают подземное и наземное оборудование. Наземное (устьевое) оборудование включает арматуру, устанавливаемую на устье, подземное (скважинное) оборудование ствола скважины.</w:t>
      </w:r>
    </w:p>
    <w:p w14:paraId="13842AE4"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 xml:space="preserve">В целом конструкция скважины представлена, в зависимости от геологических и технологических факторов, несколькими концентрически спущенными на различную глубину колоннами обсадных труб. </w:t>
      </w:r>
    </w:p>
    <w:p w14:paraId="506E2566" w14:textId="77777777" w:rsidR="00BF02CC" w:rsidRPr="00D93A9B" w:rsidRDefault="00BF02CC" w:rsidP="00D93A9B">
      <w:pPr>
        <w:pStyle w:val="af2"/>
        <w:widowControl w:val="0"/>
        <w:spacing w:line="360" w:lineRule="auto"/>
        <w:ind w:firstLine="709"/>
        <w:jc w:val="both"/>
        <w:rPr>
          <w:rFonts w:ascii="Times New Roman" w:hAnsi="Times New Roman"/>
          <w:b w:val="0"/>
          <w:i w:val="0"/>
          <w:sz w:val="16"/>
          <w:szCs w:val="16"/>
          <w:u w:val="none"/>
        </w:rPr>
      </w:pPr>
    </w:p>
    <w:p w14:paraId="2C9D9937"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2.2 Оборудование кустовой площадки.</w:t>
      </w:r>
    </w:p>
    <w:p w14:paraId="350BA0AF"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p>
    <w:p w14:paraId="1A201AEA"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 xml:space="preserve">Выбор системы извлечения нефти и обустройства нефтяных месторождений зависит от десятков факторов: от глубины залегания и качества продуктивных пластов: количества извлекаемых запасов, их структуры по степени изученности: характеристик коллекторов; состава и свойств нефти: газового фактора и состава </w:t>
      </w:r>
      <w:r>
        <w:rPr>
          <w:rFonts w:ascii="Times New Roman" w:hAnsi="Times New Roman"/>
          <w:b w:val="0"/>
          <w:i w:val="0"/>
          <w:sz w:val="28"/>
          <w:szCs w:val="28"/>
          <w:u w:val="none"/>
        </w:rPr>
        <w:lastRenderedPageBreak/>
        <w:t>попутных газов: давления насыщения нефти газом: свойств и условий залегания пластовых вод; положения водонефтяного контакта.</w:t>
      </w:r>
    </w:p>
    <w:p w14:paraId="5CB54578"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Кроме перечисленных основных показателей разработки при обустройстве месторождения учитываются природно-климатические характеристики, инженерно-геологические условия.</w:t>
      </w:r>
    </w:p>
    <w:p w14:paraId="3136EADB"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В состав технологических сооружений куста скважин обычно входят:</w:t>
      </w:r>
    </w:p>
    <w:p w14:paraId="22DC9A5E"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приустьевые площадки добывающих и нагнетательных скважин;</w:t>
      </w:r>
    </w:p>
    <w:p w14:paraId="041AD494"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замерные установки;</w:t>
      </w:r>
    </w:p>
    <w:p w14:paraId="1459EFBC"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блоки подачи реагентов-деэмульгаторов и ингибиторов;</w:t>
      </w:r>
    </w:p>
    <w:p w14:paraId="594EBB17"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блоки газораспределительные и водораспределительные;</w:t>
      </w:r>
    </w:p>
    <w:p w14:paraId="3C6C393F"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блоки закачки воды в нагнетательные скважины;</w:t>
      </w:r>
    </w:p>
    <w:p w14:paraId="1EDD0233"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станции управления насосами ЭЦН и ШГН;</w:t>
      </w:r>
    </w:p>
    <w:p w14:paraId="1FAA2FFA"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фундаменты под станки-качалки;</w:t>
      </w:r>
    </w:p>
    <w:p w14:paraId="5EFF4E4E"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трансформаторные подстанции;</w:t>
      </w:r>
    </w:p>
    <w:p w14:paraId="036BE0EE"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площадки под ремонтный агрегат;</w:t>
      </w:r>
    </w:p>
    <w:p w14:paraId="5CA0AEBA" w14:textId="77777777" w:rsidR="00BF02CC" w:rsidRDefault="00BF02CC" w:rsidP="00D93A9B">
      <w:pPr>
        <w:pStyle w:val="af2"/>
        <w:widowControl w:val="0"/>
        <w:numPr>
          <w:ilvl w:val="0"/>
          <w:numId w:val="16"/>
        </w:numPr>
        <w:tabs>
          <w:tab w:val="left" w:pos="993"/>
        </w:tabs>
        <w:spacing w:line="360" w:lineRule="auto"/>
        <w:ind w:left="0" w:firstLine="709"/>
        <w:jc w:val="both"/>
        <w:rPr>
          <w:rFonts w:ascii="Times New Roman" w:hAnsi="Times New Roman"/>
          <w:b w:val="0"/>
          <w:i w:val="0"/>
          <w:sz w:val="28"/>
          <w:szCs w:val="28"/>
          <w:u w:val="none"/>
        </w:rPr>
      </w:pPr>
      <w:r>
        <w:rPr>
          <w:rFonts w:ascii="Times New Roman" w:hAnsi="Times New Roman"/>
          <w:b w:val="0"/>
          <w:i w:val="0"/>
          <w:sz w:val="28"/>
          <w:szCs w:val="28"/>
          <w:u w:val="none"/>
        </w:rPr>
        <w:t>емкость-сборник и технологические трубопроводы.</w:t>
      </w:r>
    </w:p>
    <w:p w14:paraId="1B5BEC1D"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В составе сооружений кустовой площадки может находиться узел подготовки сточных вод (УПСВ) с локальной закачкой воды в пласт. В этом случае отсутствует энергоемкая перекачка пластовых вод к пунктам сепарации нефти и обратно, а в составе транспортных коридоров отсутствуют агрессивные пластовые флюиды, что повышает экологическую безопасность промысла.</w:t>
      </w:r>
    </w:p>
    <w:p w14:paraId="307DE682"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Групповые замерные установки. Газожидкостная смесь из добывающих скважин поступает на ГЗУ, в которой в автоматическом режиме производится периодическое измерение в замерном сепараторе дебитов жидкости и газа каждой скважины. Количество установок определяется расчетами. На площадках ГЗУ размещаются блоки закачки реагента-деэмульгатора и ингибитора коррозии.</w:t>
      </w:r>
    </w:p>
    <w:p w14:paraId="6900D820"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Станции управления - предназначены для частотно-регулируемого управления и защиты погружных электродвигателей и насосов при нефтедобыче.</w:t>
      </w:r>
    </w:p>
    <w:p w14:paraId="607027BA"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 xml:space="preserve">Трансформаторная подстанция — электроустановка, предназначенная для приема, преобразования и распределения электрической энергии, состоящая из </w:t>
      </w:r>
      <w:r>
        <w:rPr>
          <w:rFonts w:ascii="Times New Roman" w:hAnsi="Times New Roman"/>
          <w:b w:val="0"/>
          <w:i w:val="0"/>
          <w:sz w:val="28"/>
          <w:szCs w:val="28"/>
          <w:u w:val="none"/>
        </w:rPr>
        <w:lastRenderedPageBreak/>
        <w:t xml:space="preserve">трансформаторов или других преобразователей электрической энергии, устройств управления, распределительных и вспомогательных устройств. </w:t>
      </w:r>
    </w:p>
    <w:p w14:paraId="49B0FE2F"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На поверхности земли расположена клемная коробка, в которой производится соединение погружного кабеля для питания ПЭД с кабельной линией, установлена кабельная эстакада. По этой эстакаде, по нижним полкам, укладывается кабельная линия установки ЭЦН. Наземное оборудование установлено на площадке механизированной добычи (ПМД). К наземному оборудованию относят трансформатор питания погружных насосов (ТМПН 63/3), станцию управления установкой (СУ Электон М) и выходной фильтр (L-C фильтр не установлен).</w:t>
      </w:r>
    </w:p>
    <w:p w14:paraId="26143555"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Также к наземному оборудованию относят кабели, играющие роль перемычек между станцией управления и трансформатором, и питающие кабели, соединяющие станцию управления с кустовой трансформаторной подстанцией (КТПН).</w:t>
      </w:r>
    </w:p>
    <w:p w14:paraId="704EB2B3"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Емкости подземные горизонтальные дренажные используются в промышленности для временного хранения различных жидкостей – кислот, щелочей, сточных вод, бензина, дизельного топлива и т.д. Дренажная емкость является неотъемлемым элементом нефтеперерабатывающих заводов и предприятий газодобывающего комплекса. Емкость дренажная еп применяется для сбора и временного хранения газового конденсата на газораспределительных станциях. Применяемые в процессе нефте- и газодобычи емкости для газа подземные снижают вероятность загрязнения окружающей среды.</w:t>
      </w:r>
    </w:p>
    <w:p w14:paraId="162A7F68" w14:textId="77777777" w:rsidR="00BF02CC" w:rsidRDefault="00BF02CC" w:rsidP="00D93A9B">
      <w:pPr>
        <w:pStyle w:val="af2"/>
        <w:widowControl w:val="0"/>
        <w:spacing w:line="360" w:lineRule="auto"/>
        <w:ind w:firstLine="709"/>
        <w:jc w:val="both"/>
        <w:rPr>
          <w:rFonts w:ascii="Times New Roman" w:hAnsi="Times New Roman"/>
          <w:b w:val="0"/>
          <w:i w:val="0"/>
          <w:sz w:val="28"/>
          <w:szCs w:val="28"/>
          <w:u w:val="none"/>
        </w:rPr>
      </w:pPr>
      <w:r>
        <w:rPr>
          <w:rFonts w:ascii="Times New Roman" w:hAnsi="Times New Roman"/>
          <w:b w:val="0"/>
          <w:i w:val="0"/>
          <w:sz w:val="28"/>
          <w:szCs w:val="28"/>
          <w:u w:val="none"/>
        </w:rPr>
        <w:t>Технологические трубопроводы, предназначенные для транспортирования в пределах промышленного предприятия или группы этих предприятий различных веществ (сырья, полуфабрикатов, реагентов, а также промежуточных и конечных продуктов, полученных или используемых в технологическом процессе и др.), необходимых для ведения технологического процесса или эксплуатации оборудования.</w:t>
      </w:r>
    </w:p>
    <w:p w14:paraId="77666E5A" w14:textId="77777777" w:rsidR="0003635F" w:rsidRDefault="0003635F">
      <w:pPr>
        <w:rPr>
          <w:rFonts w:ascii="Times New Roman" w:hAnsi="Times New Roman"/>
          <w:sz w:val="28"/>
          <w:szCs w:val="28"/>
        </w:rPr>
      </w:pPr>
      <w:r>
        <w:rPr>
          <w:rFonts w:ascii="Times New Roman" w:hAnsi="Times New Roman"/>
          <w:sz w:val="28"/>
          <w:szCs w:val="28"/>
        </w:rPr>
        <w:br w:type="page"/>
      </w:r>
    </w:p>
    <w:p w14:paraId="2FA46E07"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ЗАКЛЮЧЕНИЕ</w:t>
      </w:r>
    </w:p>
    <w:p w14:paraId="521DDBC8" w14:textId="77777777" w:rsidR="00BF02CC" w:rsidRDefault="00BF02CC" w:rsidP="00D93A9B">
      <w:pPr>
        <w:widowControl w:val="0"/>
        <w:spacing w:after="0" w:line="360" w:lineRule="auto"/>
        <w:ind w:firstLine="709"/>
        <w:jc w:val="both"/>
        <w:rPr>
          <w:rFonts w:ascii="Times New Roman" w:hAnsi="Times New Roman"/>
          <w:sz w:val="28"/>
          <w:szCs w:val="28"/>
        </w:rPr>
      </w:pPr>
    </w:p>
    <w:p w14:paraId="5E856E4E"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ходе практики на получение рабочей профессии оператора по добыче нефти и газа я узнал обязанности оператора по добычи нефти и газа; ознакомил</w:t>
      </w:r>
      <w:r w:rsidR="0003635F">
        <w:rPr>
          <w:rFonts w:ascii="Times New Roman" w:hAnsi="Times New Roman"/>
          <w:sz w:val="28"/>
          <w:szCs w:val="28"/>
        </w:rPr>
        <w:t>ся</w:t>
      </w:r>
      <w:r>
        <w:rPr>
          <w:rFonts w:ascii="Times New Roman" w:hAnsi="Times New Roman"/>
          <w:sz w:val="28"/>
          <w:szCs w:val="28"/>
        </w:rPr>
        <w:t xml:space="preserve"> с системой взаимоотношений и подчиненности служб и цехов предприятия, нормативно-справочной документацией.</w:t>
      </w:r>
    </w:p>
    <w:p w14:paraId="3FE5A0B2" w14:textId="77777777" w:rsidR="00BF02CC" w:rsidRDefault="00BF02CC" w:rsidP="00D93A9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Я усвоил:  участие в осуществлении и поддержании заданного режима работы скважин, установок комплексной подготовки газа, групповых замерных установок и в других работах, связанных с технологией добычи нефти, газа, газового конденсата различными способами эксплуатации, в замерах нефти и воды через узлы учета ГЗУ, ДНС, снятие показаний контрольно-измерительных приборов, отбор проб для проведения анализа, в работах по обслуживанию и текущему ремонту нефтепромыслового оборудования, установок и трубопроводов, выполнение работ по обслуживанию скважин, технологических аппаратов, согласно инструкций по охране труда по видам работ. </w:t>
      </w:r>
    </w:p>
    <w:p w14:paraId="675297E4" w14:textId="77777777" w:rsidR="00BF02CC" w:rsidRDefault="00BF02CC" w:rsidP="00D93A9B">
      <w:pPr>
        <w:widowControl w:val="0"/>
        <w:spacing w:after="0" w:line="360" w:lineRule="auto"/>
        <w:ind w:firstLine="709"/>
        <w:jc w:val="both"/>
        <w:rPr>
          <w:rFonts w:ascii="Times New Roman" w:hAnsi="Times New Roman"/>
          <w:sz w:val="28"/>
          <w:szCs w:val="28"/>
          <w:lang w:eastAsia="ru-RU"/>
        </w:rPr>
      </w:pPr>
    </w:p>
    <w:p w14:paraId="6699EDC0" w14:textId="77777777" w:rsidR="00BF02CC" w:rsidRDefault="00BF02CC" w:rsidP="00D93A9B">
      <w:pPr>
        <w:widowControl w:val="0"/>
        <w:spacing w:after="0" w:line="360" w:lineRule="auto"/>
        <w:ind w:firstLine="709"/>
        <w:jc w:val="both"/>
        <w:rPr>
          <w:rFonts w:ascii="Times New Roman" w:hAnsi="Times New Roman"/>
          <w:sz w:val="28"/>
          <w:szCs w:val="28"/>
        </w:rPr>
      </w:pPr>
    </w:p>
    <w:p w14:paraId="3A42DC7B" w14:textId="77777777" w:rsidR="00BF02CC" w:rsidRDefault="00BF02CC" w:rsidP="00D93A9B">
      <w:pPr>
        <w:widowControl w:val="0"/>
        <w:spacing w:after="0" w:line="360" w:lineRule="auto"/>
        <w:ind w:firstLine="709"/>
        <w:jc w:val="both"/>
        <w:rPr>
          <w:rFonts w:ascii="Times New Roman" w:hAnsi="Times New Roman"/>
          <w:sz w:val="28"/>
          <w:szCs w:val="28"/>
        </w:rPr>
      </w:pPr>
    </w:p>
    <w:p w14:paraId="32112C95" w14:textId="77777777" w:rsidR="00BF02CC" w:rsidRDefault="00BF02CC" w:rsidP="00D93A9B">
      <w:pPr>
        <w:widowControl w:val="0"/>
        <w:spacing w:after="0" w:line="360" w:lineRule="auto"/>
        <w:ind w:firstLine="709"/>
        <w:jc w:val="both"/>
        <w:rPr>
          <w:rFonts w:ascii="Times New Roman" w:hAnsi="Times New Roman"/>
          <w:sz w:val="28"/>
          <w:szCs w:val="28"/>
        </w:rPr>
      </w:pPr>
    </w:p>
    <w:p w14:paraId="57E8180F" w14:textId="77777777" w:rsidR="00BF02CC" w:rsidRDefault="00BF02CC" w:rsidP="00D93A9B">
      <w:pPr>
        <w:widowControl w:val="0"/>
        <w:spacing w:after="0" w:line="360" w:lineRule="auto"/>
        <w:ind w:firstLine="709"/>
        <w:jc w:val="both"/>
        <w:rPr>
          <w:rFonts w:ascii="Times New Roman" w:hAnsi="Times New Roman"/>
          <w:sz w:val="28"/>
          <w:szCs w:val="28"/>
        </w:rPr>
      </w:pPr>
    </w:p>
    <w:p w14:paraId="7DEFDFAC" w14:textId="77777777" w:rsidR="00BF02CC" w:rsidRDefault="00BF02CC" w:rsidP="00D93A9B">
      <w:pPr>
        <w:widowControl w:val="0"/>
        <w:spacing w:after="0" w:line="360" w:lineRule="auto"/>
        <w:ind w:firstLine="709"/>
        <w:jc w:val="both"/>
        <w:rPr>
          <w:rFonts w:ascii="Times New Roman" w:hAnsi="Times New Roman"/>
          <w:sz w:val="28"/>
          <w:szCs w:val="28"/>
        </w:rPr>
      </w:pPr>
    </w:p>
    <w:p w14:paraId="7664BCB9" w14:textId="77777777" w:rsidR="00BF02CC" w:rsidRDefault="00BF02CC" w:rsidP="00D93A9B">
      <w:pPr>
        <w:widowControl w:val="0"/>
        <w:spacing w:after="0" w:line="360" w:lineRule="auto"/>
        <w:ind w:firstLine="709"/>
        <w:jc w:val="both"/>
        <w:rPr>
          <w:rFonts w:ascii="Times New Roman" w:hAnsi="Times New Roman"/>
          <w:sz w:val="28"/>
          <w:szCs w:val="28"/>
        </w:rPr>
      </w:pPr>
    </w:p>
    <w:p w14:paraId="11A8ED23" w14:textId="77777777" w:rsidR="00BF02CC" w:rsidRDefault="00BF02CC" w:rsidP="00D93A9B">
      <w:pPr>
        <w:widowControl w:val="0"/>
        <w:spacing w:after="0" w:line="360" w:lineRule="auto"/>
        <w:ind w:firstLine="709"/>
        <w:jc w:val="both"/>
        <w:rPr>
          <w:rFonts w:ascii="Times New Roman" w:hAnsi="Times New Roman"/>
          <w:sz w:val="28"/>
          <w:szCs w:val="28"/>
        </w:rPr>
      </w:pPr>
    </w:p>
    <w:p w14:paraId="189E08CC" w14:textId="77777777" w:rsidR="00BF02CC" w:rsidRDefault="00BF02CC" w:rsidP="00D93A9B">
      <w:pPr>
        <w:widowControl w:val="0"/>
        <w:spacing w:after="0" w:line="360" w:lineRule="auto"/>
        <w:ind w:firstLine="709"/>
        <w:jc w:val="both"/>
        <w:rPr>
          <w:rFonts w:ascii="Times New Roman" w:hAnsi="Times New Roman"/>
          <w:sz w:val="28"/>
          <w:szCs w:val="28"/>
        </w:rPr>
      </w:pPr>
    </w:p>
    <w:p w14:paraId="01C42C9D" w14:textId="77777777" w:rsidR="00BF02CC" w:rsidRDefault="00BF02CC" w:rsidP="00D93A9B">
      <w:pPr>
        <w:widowControl w:val="0"/>
        <w:spacing w:after="0" w:line="360" w:lineRule="auto"/>
        <w:ind w:firstLine="709"/>
        <w:jc w:val="both"/>
        <w:rPr>
          <w:rFonts w:ascii="Times New Roman" w:hAnsi="Times New Roman"/>
          <w:sz w:val="28"/>
          <w:szCs w:val="28"/>
        </w:rPr>
      </w:pPr>
    </w:p>
    <w:p w14:paraId="5DF046D8" w14:textId="77777777" w:rsidR="00BF02CC" w:rsidRDefault="00BF02CC" w:rsidP="00D93A9B">
      <w:pPr>
        <w:widowControl w:val="0"/>
        <w:spacing w:after="0" w:line="360" w:lineRule="auto"/>
        <w:ind w:firstLine="709"/>
        <w:jc w:val="both"/>
        <w:rPr>
          <w:rFonts w:ascii="Times New Roman" w:hAnsi="Times New Roman"/>
          <w:sz w:val="28"/>
          <w:szCs w:val="28"/>
        </w:rPr>
      </w:pPr>
    </w:p>
    <w:p w14:paraId="65DAB512" w14:textId="77777777" w:rsidR="00BF02CC" w:rsidRDefault="00BF02CC" w:rsidP="00D93A9B">
      <w:pPr>
        <w:widowControl w:val="0"/>
        <w:spacing w:after="0" w:line="360" w:lineRule="auto"/>
        <w:ind w:firstLine="709"/>
        <w:jc w:val="both"/>
        <w:rPr>
          <w:rFonts w:ascii="Times New Roman" w:hAnsi="Times New Roman"/>
          <w:sz w:val="28"/>
          <w:szCs w:val="28"/>
        </w:rPr>
      </w:pPr>
    </w:p>
    <w:p w14:paraId="126153E6" w14:textId="77777777" w:rsidR="00BF02CC" w:rsidRDefault="00BF02CC" w:rsidP="00D93A9B">
      <w:pPr>
        <w:widowControl w:val="0"/>
        <w:spacing w:after="0" w:line="360" w:lineRule="auto"/>
        <w:ind w:firstLine="709"/>
        <w:jc w:val="both"/>
        <w:rPr>
          <w:rFonts w:ascii="Times New Roman" w:hAnsi="Times New Roman"/>
          <w:sz w:val="28"/>
          <w:szCs w:val="28"/>
        </w:rPr>
      </w:pPr>
    </w:p>
    <w:p w14:paraId="3ADC68A9" w14:textId="77777777" w:rsidR="00BF02CC" w:rsidRDefault="00BF02CC" w:rsidP="00D93A9B">
      <w:pPr>
        <w:widowControl w:val="0"/>
        <w:spacing w:after="0" w:line="360" w:lineRule="auto"/>
        <w:ind w:firstLine="709"/>
        <w:jc w:val="both"/>
        <w:rPr>
          <w:rFonts w:ascii="Times New Roman" w:hAnsi="Times New Roman"/>
          <w:sz w:val="28"/>
          <w:szCs w:val="28"/>
        </w:rPr>
      </w:pPr>
    </w:p>
    <w:p w14:paraId="34A7E786" w14:textId="77777777" w:rsidR="00BF02CC" w:rsidRDefault="00BF02CC" w:rsidP="00D93A9B">
      <w:pPr>
        <w:widowControl w:val="0"/>
        <w:spacing w:after="0" w:line="360" w:lineRule="auto"/>
        <w:ind w:firstLine="709"/>
        <w:jc w:val="both"/>
        <w:rPr>
          <w:rFonts w:ascii="Times New Roman" w:hAnsi="Times New Roman"/>
          <w:sz w:val="28"/>
          <w:szCs w:val="28"/>
        </w:rPr>
      </w:pPr>
    </w:p>
    <w:p w14:paraId="2869C823" w14:textId="77777777" w:rsidR="0003635F" w:rsidRPr="00F77CF4" w:rsidRDefault="0003635F" w:rsidP="0003635F">
      <w:pPr>
        <w:widowControl w:val="0"/>
        <w:spacing w:after="0" w:line="360" w:lineRule="auto"/>
        <w:ind w:firstLine="709"/>
        <w:jc w:val="both"/>
        <w:rPr>
          <w:rFonts w:ascii="Times New Roman" w:hAnsi="Times New Roman" w:cs="Times New Roman"/>
          <w:sz w:val="28"/>
          <w:szCs w:val="28"/>
        </w:rPr>
      </w:pPr>
      <w:r w:rsidRPr="00F77CF4">
        <w:rPr>
          <w:rFonts w:ascii="Times New Roman" w:hAnsi="Times New Roman" w:cs="Times New Roman"/>
          <w:sz w:val="28"/>
          <w:szCs w:val="28"/>
        </w:rPr>
        <w:lastRenderedPageBreak/>
        <w:t>Список литературы</w:t>
      </w:r>
    </w:p>
    <w:p w14:paraId="7D2FB2FD" w14:textId="77777777" w:rsidR="0003635F" w:rsidRPr="00F77CF4" w:rsidRDefault="0003635F" w:rsidP="0003635F">
      <w:pPr>
        <w:widowControl w:val="0"/>
        <w:spacing w:after="0" w:line="360" w:lineRule="auto"/>
        <w:ind w:firstLine="709"/>
        <w:jc w:val="both"/>
        <w:rPr>
          <w:rFonts w:ascii="Times New Roman" w:hAnsi="Times New Roman" w:cs="Times New Roman"/>
          <w:sz w:val="28"/>
          <w:szCs w:val="28"/>
        </w:rPr>
      </w:pPr>
    </w:p>
    <w:p w14:paraId="29F290AB" w14:textId="76B71F69" w:rsidR="0003635F" w:rsidRPr="00F77CF4" w:rsidRDefault="0003635F" w:rsidP="0003635F">
      <w:pPr>
        <w:widowControl w:val="0"/>
        <w:spacing w:after="0" w:line="360" w:lineRule="auto"/>
        <w:ind w:firstLine="709"/>
        <w:jc w:val="both"/>
        <w:rPr>
          <w:rFonts w:ascii="Times New Roman" w:hAnsi="Times New Roman" w:cs="Times New Roman"/>
          <w:sz w:val="28"/>
          <w:szCs w:val="28"/>
        </w:rPr>
      </w:pPr>
      <w:r w:rsidRPr="00F77CF4">
        <w:rPr>
          <w:rFonts w:ascii="Times New Roman" w:hAnsi="Times New Roman" w:cs="Times New Roman"/>
          <w:sz w:val="28"/>
          <w:szCs w:val="28"/>
        </w:rPr>
        <w:t>1.  Графкина, М.В. Охрана труда:</w:t>
      </w:r>
      <w:r w:rsidR="00EB4A74">
        <w:rPr>
          <w:rFonts w:ascii="Times New Roman" w:hAnsi="Times New Roman" w:cs="Times New Roman"/>
          <w:sz w:val="28"/>
          <w:szCs w:val="28"/>
        </w:rPr>
        <w:t xml:space="preserve"> </w:t>
      </w:r>
      <w:r w:rsidRPr="00F77CF4">
        <w:rPr>
          <w:rFonts w:ascii="Times New Roman" w:hAnsi="Times New Roman" w:cs="Times New Roman"/>
          <w:sz w:val="28"/>
          <w:szCs w:val="28"/>
        </w:rPr>
        <w:t xml:space="preserve">учебник / М. В. Графкина. - 3-е изд., перераб. и доп. - Москва: Академия, 2021. - 212 с.: ил. - (Среднее профессиональное образование). - </w:t>
      </w:r>
      <w:r w:rsidRPr="00F77CF4">
        <w:rPr>
          <w:rFonts w:ascii="Times New Roman" w:hAnsi="Times New Roman" w:cs="Times New Roman"/>
          <w:bCs/>
          <w:sz w:val="28"/>
          <w:szCs w:val="28"/>
        </w:rPr>
        <w:t xml:space="preserve">ISBN </w:t>
      </w:r>
      <w:r w:rsidRPr="00F77CF4">
        <w:rPr>
          <w:rFonts w:ascii="Times New Roman" w:hAnsi="Times New Roman" w:cs="Times New Roman"/>
          <w:sz w:val="28"/>
          <w:szCs w:val="28"/>
        </w:rPr>
        <w:t>978-5-16-016522-6. - Текст: непосредственный.</w:t>
      </w:r>
    </w:p>
    <w:p w14:paraId="59A4B43B" w14:textId="3CBC99DF" w:rsidR="0003635F" w:rsidRPr="00F77CF4" w:rsidRDefault="0003635F" w:rsidP="0003635F">
      <w:pPr>
        <w:widowControl w:val="0"/>
        <w:spacing w:after="0" w:line="360" w:lineRule="auto"/>
        <w:ind w:firstLine="709"/>
        <w:jc w:val="both"/>
        <w:rPr>
          <w:rFonts w:ascii="Times New Roman" w:hAnsi="Times New Roman" w:cs="Times New Roman"/>
          <w:sz w:val="28"/>
          <w:szCs w:val="28"/>
        </w:rPr>
      </w:pPr>
      <w:r w:rsidRPr="00F77CF4">
        <w:rPr>
          <w:rFonts w:ascii="Times New Roman" w:hAnsi="Times New Roman" w:cs="Times New Roman"/>
          <w:sz w:val="28"/>
          <w:szCs w:val="28"/>
        </w:rPr>
        <w:t>2. Лутошкин,  Г.С. Сбор и подготовка нефти, газа и воды: учебник для техникумов / Г. С. Лутошкин. - 3-е изд., перераб. и доп. - Москва: Альянс, 20</w:t>
      </w:r>
      <w:r w:rsidR="00EC7AF8">
        <w:rPr>
          <w:rFonts w:ascii="Times New Roman" w:hAnsi="Times New Roman" w:cs="Times New Roman"/>
          <w:sz w:val="28"/>
          <w:szCs w:val="28"/>
        </w:rPr>
        <w:t>20</w:t>
      </w:r>
      <w:r w:rsidRPr="00F77CF4">
        <w:rPr>
          <w:rFonts w:ascii="Times New Roman" w:hAnsi="Times New Roman" w:cs="Times New Roman"/>
          <w:sz w:val="28"/>
          <w:szCs w:val="28"/>
        </w:rPr>
        <w:t>. - 224 с. - ISBN 978-5-00106-052-9. - Текст: непосредственный.</w:t>
      </w:r>
    </w:p>
    <w:p w14:paraId="1EA3198C" w14:textId="77777777" w:rsidR="0003635F" w:rsidRPr="00F77CF4" w:rsidRDefault="0003635F" w:rsidP="0003635F">
      <w:pPr>
        <w:widowControl w:val="0"/>
        <w:spacing w:after="0" w:line="360" w:lineRule="auto"/>
        <w:ind w:firstLine="709"/>
        <w:jc w:val="both"/>
        <w:rPr>
          <w:rFonts w:ascii="Times New Roman" w:eastAsia="Calibri" w:hAnsi="Times New Roman" w:cs="Times New Roman"/>
          <w:sz w:val="28"/>
          <w:szCs w:val="28"/>
        </w:rPr>
      </w:pPr>
      <w:r w:rsidRPr="00F77CF4">
        <w:rPr>
          <w:rFonts w:ascii="Times New Roman" w:hAnsi="Times New Roman" w:cs="Times New Roman"/>
          <w:sz w:val="28"/>
          <w:szCs w:val="28"/>
        </w:rPr>
        <w:t xml:space="preserve"> 3. </w:t>
      </w:r>
      <w:r w:rsidRPr="00F77CF4">
        <w:rPr>
          <w:rFonts w:ascii="Times New Roman" w:eastAsia="Calibri" w:hAnsi="Times New Roman" w:cs="Times New Roman"/>
          <w:sz w:val="28"/>
          <w:szCs w:val="28"/>
        </w:rPr>
        <w:t xml:space="preserve"> Нефтяное хозяйство: научно-технический и производственный журнал / Губкинский университет; учредители ПАО «НК Роснефть», АО «Зарубежнефть», ПАО «Татнефть» [и др.]. –2018 - 2021. – Ежемес. – ISSN 0028-2448.  – Текст: непосредственный.</w:t>
      </w:r>
    </w:p>
    <w:p w14:paraId="7217C8BA" w14:textId="190BBC9A" w:rsidR="0003635F" w:rsidRPr="00F77CF4" w:rsidRDefault="0003635F" w:rsidP="0003635F">
      <w:pPr>
        <w:widowControl w:val="0"/>
        <w:spacing w:after="0" w:line="360" w:lineRule="auto"/>
        <w:ind w:firstLine="709"/>
        <w:jc w:val="both"/>
        <w:rPr>
          <w:rFonts w:ascii="Times New Roman" w:eastAsia="Calibri" w:hAnsi="Times New Roman" w:cs="Times New Roman"/>
          <w:sz w:val="28"/>
          <w:szCs w:val="28"/>
        </w:rPr>
      </w:pPr>
      <w:r w:rsidRPr="00F77CF4">
        <w:rPr>
          <w:rFonts w:ascii="Times New Roman" w:eastAsia="Calibri" w:hAnsi="Times New Roman" w:cs="Times New Roman"/>
          <w:sz w:val="28"/>
          <w:szCs w:val="28"/>
        </w:rPr>
        <w:t xml:space="preserve">4. </w:t>
      </w:r>
      <w:r w:rsidRPr="00F77CF4">
        <w:rPr>
          <w:rFonts w:ascii="Times New Roman" w:eastAsia="Times New Roman" w:hAnsi="Times New Roman" w:cs="Times New Roman"/>
          <w:sz w:val="28"/>
          <w:szCs w:val="28"/>
          <w:lang w:eastAsia="ru-RU"/>
        </w:rPr>
        <w:t xml:space="preserve"> Охрана труда и пожарная безопасность: производственно – практический журнал/ учредитель ООО «МедиаПро». –20</w:t>
      </w:r>
      <w:r w:rsidR="00EC7AF8">
        <w:rPr>
          <w:rFonts w:ascii="Times New Roman" w:eastAsia="Times New Roman" w:hAnsi="Times New Roman" w:cs="Times New Roman"/>
          <w:sz w:val="28"/>
          <w:szCs w:val="28"/>
          <w:lang w:eastAsia="ru-RU"/>
        </w:rPr>
        <w:t>20</w:t>
      </w:r>
      <w:r w:rsidRPr="00F77CF4">
        <w:rPr>
          <w:rFonts w:ascii="Times New Roman" w:eastAsia="Calibri" w:hAnsi="Times New Roman" w:cs="Times New Roman"/>
          <w:sz w:val="28"/>
          <w:szCs w:val="28"/>
        </w:rPr>
        <w:t>. – Ежемес. – Текст: непосредственный.</w:t>
      </w:r>
    </w:p>
    <w:p w14:paraId="157C829B" w14:textId="77777777" w:rsidR="0003635F" w:rsidRPr="00F77CF4" w:rsidRDefault="0003635F" w:rsidP="0003635F">
      <w:pPr>
        <w:widowControl w:val="0"/>
        <w:spacing w:after="0" w:line="360" w:lineRule="auto"/>
        <w:ind w:firstLine="709"/>
        <w:jc w:val="both"/>
        <w:rPr>
          <w:rFonts w:ascii="Times New Roman" w:hAnsi="Times New Roman" w:cs="Times New Roman"/>
          <w:sz w:val="28"/>
          <w:szCs w:val="28"/>
        </w:rPr>
      </w:pPr>
      <w:r w:rsidRPr="00F77CF4">
        <w:rPr>
          <w:rFonts w:ascii="Times New Roman" w:hAnsi="Times New Roman" w:cs="Times New Roman"/>
          <w:sz w:val="28"/>
          <w:szCs w:val="28"/>
        </w:rPr>
        <w:t>5.  Покрепин, Б.В. Эксплуатация нефтяных и газовых месторождений (МДК.01.02): учебное пособие / Б. В. Покрепин. - 2-е изд. - Ростов-на-Дону: Феникс, 2020. - 605 с.: ил. - (Среднее профессиональное образование.</w:t>
      </w:r>
      <w:r>
        <w:rPr>
          <w:rFonts w:ascii="Times New Roman" w:hAnsi="Times New Roman" w:cs="Times New Roman"/>
          <w:sz w:val="28"/>
          <w:szCs w:val="28"/>
        </w:rPr>
        <w:t xml:space="preserve"> </w:t>
      </w:r>
      <w:r w:rsidRPr="00F77CF4">
        <w:rPr>
          <w:rFonts w:ascii="Times New Roman" w:hAnsi="Times New Roman" w:cs="Times New Roman"/>
          <w:sz w:val="28"/>
          <w:szCs w:val="28"/>
        </w:rPr>
        <w:t>Соответствует ФГОС). - ISBN 978-5-222-29816-9. - Текст: непосредственный.</w:t>
      </w:r>
    </w:p>
    <w:p w14:paraId="64AB31AC" w14:textId="77777777" w:rsidR="0003635F" w:rsidRPr="00F77CF4" w:rsidRDefault="0003635F" w:rsidP="0003635F">
      <w:pPr>
        <w:widowControl w:val="0"/>
        <w:spacing w:after="0" w:line="360" w:lineRule="auto"/>
        <w:ind w:firstLine="709"/>
        <w:jc w:val="both"/>
        <w:rPr>
          <w:rFonts w:ascii="Times New Roman" w:eastAsia="Calibri" w:hAnsi="Times New Roman" w:cs="Times New Roman"/>
          <w:sz w:val="28"/>
          <w:szCs w:val="28"/>
        </w:rPr>
      </w:pPr>
      <w:r w:rsidRPr="00F77CF4">
        <w:rPr>
          <w:rFonts w:ascii="Times New Roman" w:hAnsi="Times New Roman" w:cs="Times New Roman"/>
          <w:sz w:val="28"/>
          <w:szCs w:val="28"/>
        </w:rPr>
        <w:t xml:space="preserve">6. </w:t>
      </w:r>
      <w:r w:rsidRPr="00F77CF4">
        <w:rPr>
          <w:rFonts w:ascii="Times New Roman" w:eastAsia="Calibri" w:hAnsi="Times New Roman" w:cs="Times New Roman"/>
          <w:sz w:val="28"/>
          <w:szCs w:val="28"/>
        </w:rPr>
        <w:t xml:space="preserve"> Справочное руководство по проектированию разработки и эксплуатации нефтяных месторождений. Добыча нефти: учебник / под ред. Ш. К. Гиматудинова. – Москва: Альянс, 2018. – 455 с. – </w:t>
      </w:r>
      <w:r w:rsidRPr="00F77CF4">
        <w:rPr>
          <w:rFonts w:ascii="Times New Roman" w:eastAsia="Calibri" w:hAnsi="Times New Roman" w:cs="Times New Roman"/>
          <w:sz w:val="28"/>
          <w:szCs w:val="28"/>
          <w:lang w:val="en-US"/>
        </w:rPr>
        <w:t>ISBN</w:t>
      </w:r>
      <w:r w:rsidRPr="00F77CF4">
        <w:rPr>
          <w:rFonts w:ascii="Times New Roman" w:eastAsia="Calibri" w:hAnsi="Times New Roman" w:cs="Times New Roman"/>
          <w:sz w:val="28"/>
          <w:szCs w:val="28"/>
        </w:rPr>
        <w:t xml:space="preserve"> 978-5-903034-239. – Текст: непосредственный.</w:t>
      </w:r>
    </w:p>
    <w:p w14:paraId="169D8AA0" w14:textId="75059846" w:rsidR="0003635F" w:rsidRPr="00F77CF4" w:rsidRDefault="0003635F" w:rsidP="0003635F">
      <w:pPr>
        <w:widowControl w:val="0"/>
        <w:spacing w:after="0" w:line="360" w:lineRule="auto"/>
        <w:ind w:firstLine="709"/>
        <w:jc w:val="both"/>
        <w:rPr>
          <w:rFonts w:ascii="Times New Roman" w:eastAsia="Calibri" w:hAnsi="Times New Roman" w:cs="Times New Roman"/>
          <w:sz w:val="28"/>
          <w:szCs w:val="28"/>
        </w:rPr>
      </w:pPr>
      <w:r w:rsidRPr="00F77CF4">
        <w:rPr>
          <w:rFonts w:ascii="Times New Roman" w:hAnsi="Times New Roman" w:cs="Times New Roman"/>
          <w:sz w:val="28"/>
          <w:szCs w:val="28"/>
        </w:rPr>
        <w:t>7.</w:t>
      </w:r>
      <w:r w:rsidRPr="00F77CF4">
        <w:rPr>
          <w:rFonts w:ascii="Times New Roman" w:eastAsia="Calibri" w:hAnsi="Times New Roman" w:cs="Times New Roman"/>
          <w:sz w:val="28"/>
          <w:szCs w:val="28"/>
        </w:rPr>
        <w:t xml:space="preserve"> Технологии нефти и газа: Научно – технологический журнал/ учредители Международный центр науки и технологий «ТУМА ГРУПП». –  2021. - ISSN 1815 – 2600. – Текст: непосредственный.</w:t>
      </w:r>
    </w:p>
    <w:p w14:paraId="34DBC842" w14:textId="4E6A6AA4" w:rsidR="006D191A" w:rsidRPr="00BF02CC" w:rsidRDefault="0003635F" w:rsidP="00D93A9B">
      <w:pPr>
        <w:widowControl w:val="0"/>
        <w:spacing w:after="0" w:line="360" w:lineRule="auto"/>
        <w:ind w:firstLine="709"/>
        <w:jc w:val="both"/>
        <w:rPr>
          <w:szCs w:val="28"/>
        </w:rPr>
      </w:pPr>
      <w:r w:rsidRPr="00F77CF4">
        <w:rPr>
          <w:rFonts w:ascii="Times New Roman" w:hAnsi="Times New Roman" w:cs="Times New Roman"/>
          <w:sz w:val="28"/>
          <w:szCs w:val="28"/>
        </w:rPr>
        <w:t xml:space="preserve">8. </w:t>
      </w:r>
      <w:r w:rsidRPr="00F77CF4">
        <w:rPr>
          <w:rFonts w:ascii="Times New Roman" w:eastAsia="Calibri" w:hAnsi="Times New Roman" w:cs="Times New Roman"/>
          <w:sz w:val="28"/>
          <w:szCs w:val="28"/>
        </w:rPr>
        <w:t xml:space="preserve"> Элияшевский,   И. В.  Технология добычи нефти и газа: учебник для техникумов / И. В. Элияшевский. - 2-е изд., перераб. и доп. - Москва: Альянс, 20</w:t>
      </w:r>
      <w:r w:rsidR="00EC7AF8">
        <w:rPr>
          <w:rFonts w:ascii="Times New Roman" w:eastAsia="Calibri" w:hAnsi="Times New Roman" w:cs="Times New Roman"/>
          <w:sz w:val="28"/>
          <w:szCs w:val="28"/>
        </w:rPr>
        <w:t>20</w:t>
      </w:r>
      <w:r w:rsidRPr="00F77CF4">
        <w:rPr>
          <w:rFonts w:ascii="Times New Roman" w:eastAsia="Calibri" w:hAnsi="Times New Roman" w:cs="Times New Roman"/>
          <w:sz w:val="28"/>
          <w:szCs w:val="28"/>
        </w:rPr>
        <w:t>. - 304 с.: ил. - ISBN 978-5-00106-264-6. - Текст: непосредственный.</w:t>
      </w:r>
    </w:p>
    <w:sectPr w:rsidR="006D191A" w:rsidRPr="00BF02CC" w:rsidSect="00D93A9B">
      <w:headerReference w:type="default" r:id="rId9"/>
      <w:pgSz w:w="11906" w:h="16838"/>
      <w:pgMar w:top="379" w:right="566" w:bottom="1276" w:left="1418"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1449" w14:textId="77777777" w:rsidR="00C35342" w:rsidRDefault="00C35342" w:rsidP="00BD0D7C">
      <w:pPr>
        <w:spacing w:after="0" w:line="240" w:lineRule="auto"/>
      </w:pPr>
      <w:r>
        <w:separator/>
      </w:r>
    </w:p>
  </w:endnote>
  <w:endnote w:type="continuationSeparator" w:id="0">
    <w:p w14:paraId="503B37A6" w14:textId="77777777" w:rsidR="00C35342" w:rsidRDefault="00C35342" w:rsidP="00BD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altName w:val="Times New Roman"/>
    <w:charset w:val="CC"/>
    <w:family w:val="swiss"/>
    <w:pitch w:val="default"/>
    <w:sig w:usb0="00000000"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574C" w14:textId="77777777" w:rsidR="00C35342" w:rsidRDefault="00C35342" w:rsidP="00BD0D7C">
      <w:pPr>
        <w:spacing w:after="0" w:line="240" w:lineRule="auto"/>
      </w:pPr>
      <w:r>
        <w:separator/>
      </w:r>
    </w:p>
  </w:footnote>
  <w:footnote w:type="continuationSeparator" w:id="0">
    <w:p w14:paraId="0A4B3FF7" w14:textId="77777777" w:rsidR="00C35342" w:rsidRDefault="00C35342" w:rsidP="00BD0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9C70" w14:textId="09A36A0D" w:rsidR="00230BE4" w:rsidRDefault="00EC7AF8">
    <w:pPr>
      <w:pStyle w:val="a3"/>
    </w:pPr>
    <w:r>
      <w:rPr>
        <w:noProof/>
        <w:lang w:eastAsia="ru-RU"/>
      </w:rPr>
      <mc:AlternateContent>
        <mc:Choice Requires="wpg">
          <w:drawing>
            <wp:anchor distT="0" distB="0" distL="114300" distR="114300" simplePos="0" relativeHeight="251678720" behindDoc="0" locked="0" layoutInCell="1" allowOverlap="1" wp14:anchorId="70F63AB3" wp14:editId="088FA46C">
              <wp:simplePos x="0" y="0"/>
              <wp:positionH relativeFrom="column">
                <wp:posOffset>-175260</wp:posOffset>
              </wp:positionH>
              <wp:positionV relativeFrom="paragraph">
                <wp:posOffset>-223520</wp:posOffset>
              </wp:positionV>
              <wp:extent cx="6604000" cy="10204450"/>
              <wp:effectExtent l="15240" t="14605" r="19685" b="2032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10204450"/>
                        <a:chOff x="1142" y="356"/>
                        <a:chExt cx="10400" cy="16070"/>
                      </a:xfrm>
                    </wpg:grpSpPr>
                    <wps:wsp>
                      <wps:cNvPr id="2" name="Rectangle 2"/>
                      <wps:cNvSpPr>
                        <a:spLocks noChangeArrowheads="1"/>
                      </wps:cNvSpPr>
                      <wps:spPr bwMode="auto">
                        <a:xfrm>
                          <a:off x="1142" y="356"/>
                          <a:ext cx="10400" cy="160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3"/>
                      <wps:cNvCnPr>
                        <a:cxnSpLocks noChangeShapeType="1"/>
                      </wps:cNvCnPr>
                      <wps:spPr bwMode="auto">
                        <a:xfrm>
                          <a:off x="1710" y="15582"/>
                          <a:ext cx="1" cy="8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147" y="15575"/>
                          <a:ext cx="103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279" y="15582"/>
                          <a:ext cx="1" cy="8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700" y="15582"/>
                          <a:ext cx="1" cy="8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4552" y="15590"/>
                          <a:ext cx="1" cy="82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5120" y="15582"/>
                          <a:ext cx="1" cy="82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0973" y="15582"/>
                          <a:ext cx="2" cy="8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147" y="15858"/>
                          <a:ext cx="3963"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1147" y="16142"/>
                          <a:ext cx="3963"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0980" y="15860"/>
                          <a:ext cx="557"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1170" y="16153"/>
                          <a:ext cx="52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136E322" w14:textId="77777777" w:rsidR="00230BE4" w:rsidRPr="00BA390F" w:rsidRDefault="00230BE4" w:rsidP="00BD0D7C">
                            <w:pPr>
                              <w:pStyle w:val="a7"/>
                              <w:jc w:val="center"/>
                              <w:rPr>
                                <w:rFonts w:cs="Arial"/>
                                <w:sz w:val="16"/>
                                <w:szCs w:val="16"/>
                              </w:rPr>
                            </w:pPr>
                            <w:r w:rsidRPr="00BA390F">
                              <w:rPr>
                                <w:rFonts w:cs="Arial"/>
                                <w:sz w:val="16"/>
                                <w:szCs w:val="16"/>
                              </w:rPr>
                              <w:t>Изм.</w:t>
                            </w:r>
                          </w:p>
                        </w:txbxContent>
                      </wps:txbx>
                      <wps:bodyPr rot="0" vert="horz" wrap="square" lIns="12700" tIns="12700" rIns="12700" bIns="12700" anchor="t" anchorCtr="0" upright="1">
                        <a:noAutofit/>
                      </wps:bodyPr>
                    </wps:wsp>
                    <wps:wsp>
                      <wps:cNvPr id="14" name="Rectangle 14"/>
                      <wps:cNvSpPr>
                        <a:spLocks noChangeArrowheads="1"/>
                      </wps:cNvSpPr>
                      <wps:spPr bwMode="auto">
                        <a:xfrm>
                          <a:off x="1734" y="16153"/>
                          <a:ext cx="52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F7F6222" w14:textId="77777777" w:rsidR="00230BE4" w:rsidRPr="00414F11" w:rsidRDefault="00230BE4" w:rsidP="00BD0D7C">
                            <w:pPr>
                              <w:pStyle w:val="a7"/>
                              <w:jc w:val="center"/>
                              <w:rPr>
                                <w:rFonts w:cs="Arial"/>
                                <w:sz w:val="16"/>
                                <w:szCs w:val="16"/>
                              </w:rPr>
                            </w:pPr>
                            <w:r w:rsidRPr="00414F11">
                              <w:rPr>
                                <w:rFonts w:cs="Arial"/>
                                <w:sz w:val="16"/>
                                <w:szCs w:val="16"/>
                              </w:rPr>
                              <w:t>Лист</w:t>
                            </w:r>
                          </w:p>
                        </w:txbxContent>
                      </wps:txbx>
                      <wps:bodyPr rot="0" vert="horz" wrap="square" lIns="12700" tIns="12700" rIns="12700" bIns="12700" anchor="t" anchorCtr="0" upright="1">
                        <a:noAutofit/>
                      </wps:bodyPr>
                    </wps:wsp>
                    <wps:wsp>
                      <wps:cNvPr id="15" name="Rectangle 15"/>
                      <wps:cNvSpPr>
                        <a:spLocks noChangeArrowheads="1"/>
                      </wps:cNvSpPr>
                      <wps:spPr bwMode="auto">
                        <a:xfrm>
                          <a:off x="2321" y="16153"/>
                          <a:ext cx="133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AF4F2BC" w14:textId="77777777" w:rsidR="00230BE4" w:rsidRPr="00414F11" w:rsidRDefault="00230BE4" w:rsidP="00BD0D7C">
                            <w:pPr>
                              <w:pStyle w:val="a7"/>
                              <w:jc w:val="center"/>
                              <w:rPr>
                                <w:rFonts w:cs="Arial"/>
                                <w:sz w:val="16"/>
                                <w:szCs w:val="16"/>
                                <w:lang w:val="ru-RU"/>
                              </w:rPr>
                            </w:pPr>
                            <w:r w:rsidRPr="00414F11">
                              <w:rPr>
                                <w:rFonts w:cs="Arial"/>
                                <w:sz w:val="16"/>
                                <w:szCs w:val="16"/>
                              </w:rPr>
                              <w:t xml:space="preserve">№ </w:t>
                            </w:r>
                            <w:r w:rsidRPr="00414F11">
                              <w:rPr>
                                <w:rFonts w:cs="Arial"/>
                                <w:sz w:val="16"/>
                                <w:szCs w:val="16"/>
                                <w:lang w:val="ru-RU"/>
                              </w:rPr>
                              <w:t>документа</w:t>
                            </w:r>
                          </w:p>
                        </w:txbxContent>
                      </wps:txbx>
                      <wps:bodyPr rot="0" vert="horz" wrap="square" lIns="12700" tIns="12700" rIns="12700" bIns="12700" anchor="t" anchorCtr="0" upright="1">
                        <a:noAutofit/>
                      </wps:bodyPr>
                    </wps:wsp>
                    <wps:wsp>
                      <wps:cNvPr id="16" name="Rectangle 16"/>
                      <wps:cNvSpPr>
                        <a:spLocks noChangeArrowheads="1"/>
                      </wps:cNvSpPr>
                      <wps:spPr bwMode="auto">
                        <a:xfrm>
                          <a:off x="3733" y="16153"/>
                          <a:ext cx="79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3799AB" w14:textId="77777777" w:rsidR="00230BE4" w:rsidRPr="00414F11" w:rsidRDefault="00230BE4" w:rsidP="00BD0D7C">
                            <w:pPr>
                              <w:pStyle w:val="a7"/>
                              <w:jc w:val="center"/>
                              <w:rPr>
                                <w:rFonts w:cs="Arial"/>
                                <w:sz w:val="16"/>
                                <w:szCs w:val="16"/>
                              </w:rPr>
                            </w:pPr>
                            <w:r w:rsidRPr="00414F11">
                              <w:rPr>
                                <w:rFonts w:cs="Arial"/>
                                <w:sz w:val="16"/>
                                <w:szCs w:val="16"/>
                              </w:rPr>
                              <w:t>Подпись</w:t>
                            </w:r>
                          </w:p>
                        </w:txbxContent>
                      </wps:txbx>
                      <wps:bodyPr rot="0" vert="horz" wrap="square" lIns="12700" tIns="12700" rIns="12700" bIns="12700" anchor="t" anchorCtr="0" upright="1">
                        <a:noAutofit/>
                      </wps:bodyPr>
                    </wps:wsp>
                    <wps:wsp>
                      <wps:cNvPr id="17" name="Rectangle 17"/>
                      <wps:cNvSpPr>
                        <a:spLocks noChangeArrowheads="1"/>
                      </wps:cNvSpPr>
                      <wps:spPr bwMode="auto">
                        <a:xfrm>
                          <a:off x="4576" y="16153"/>
                          <a:ext cx="52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AAAB02" w14:textId="77777777" w:rsidR="00230BE4" w:rsidRPr="00414F11" w:rsidRDefault="00230BE4" w:rsidP="00BD0D7C">
                            <w:pPr>
                              <w:pStyle w:val="a7"/>
                              <w:jc w:val="center"/>
                              <w:rPr>
                                <w:rFonts w:cs="Arial"/>
                                <w:sz w:val="16"/>
                                <w:szCs w:val="16"/>
                              </w:rPr>
                            </w:pPr>
                            <w:r w:rsidRPr="00414F11">
                              <w:rPr>
                                <w:rFonts w:cs="Arial"/>
                                <w:sz w:val="16"/>
                                <w:szCs w:val="16"/>
                              </w:rPr>
                              <w:t>Дата</w:t>
                            </w:r>
                          </w:p>
                        </w:txbxContent>
                      </wps:txbx>
                      <wps:bodyPr rot="0" vert="horz" wrap="square" lIns="12700" tIns="12700" rIns="12700" bIns="12700" anchor="t" anchorCtr="0" upright="1">
                        <a:noAutofit/>
                      </wps:bodyPr>
                    </wps:wsp>
                    <wps:wsp>
                      <wps:cNvPr id="18" name="Rectangle 18"/>
                      <wps:cNvSpPr>
                        <a:spLocks noChangeArrowheads="1"/>
                      </wps:cNvSpPr>
                      <wps:spPr bwMode="auto">
                        <a:xfrm>
                          <a:off x="10995" y="15604"/>
                          <a:ext cx="52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417B101" w14:textId="77777777" w:rsidR="00230BE4" w:rsidRPr="00414F11" w:rsidRDefault="00230BE4" w:rsidP="00BD0D7C">
                            <w:pPr>
                              <w:pStyle w:val="a7"/>
                              <w:jc w:val="center"/>
                              <w:rPr>
                                <w:rFonts w:cs="Arial"/>
                                <w:sz w:val="16"/>
                                <w:szCs w:val="16"/>
                              </w:rPr>
                            </w:pPr>
                            <w:r w:rsidRPr="00414F11">
                              <w:rPr>
                                <w:rFonts w:cs="Arial"/>
                                <w:sz w:val="16"/>
                                <w:szCs w:val="16"/>
                              </w:rPr>
                              <w:t>Лист</w:t>
                            </w:r>
                          </w:p>
                        </w:txbxContent>
                      </wps:txbx>
                      <wps:bodyPr rot="0" vert="horz" wrap="square" lIns="12700" tIns="12700" rIns="12700" bIns="12700" anchor="t" anchorCtr="0" upright="1">
                        <a:noAutofit/>
                      </wps:bodyPr>
                    </wps:wsp>
                    <wps:wsp>
                      <wps:cNvPr id="19" name="Rectangle 19"/>
                      <wps:cNvSpPr>
                        <a:spLocks noChangeArrowheads="1"/>
                      </wps:cNvSpPr>
                      <wps:spPr bwMode="auto">
                        <a:xfrm>
                          <a:off x="10995" y="15972"/>
                          <a:ext cx="521"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E6409C" w14:textId="77777777" w:rsidR="00230BE4" w:rsidRPr="00C20647" w:rsidRDefault="00A038DF" w:rsidP="00BD0D7C">
                            <w:pPr>
                              <w:jc w:val="center"/>
                              <w:rPr>
                                <w:rFonts w:ascii="ISOCPEUR" w:eastAsia="Calibri" w:hAnsi="ISOCPEUR" w:cs="Times New Roman"/>
                              </w:rPr>
                            </w:pPr>
                            <w:r w:rsidRPr="00C20647">
                              <w:rPr>
                                <w:rFonts w:ascii="ISOCPEUR" w:eastAsia="Calibri" w:hAnsi="ISOCPEUR" w:cs="Times New Roman"/>
                              </w:rPr>
                              <w:fldChar w:fldCharType="begin"/>
                            </w:r>
                            <w:r w:rsidR="00230BE4" w:rsidRPr="00C20647">
                              <w:rPr>
                                <w:rFonts w:ascii="ISOCPEUR" w:eastAsia="Calibri" w:hAnsi="ISOCPEUR" w:cs="Times New Roman"/>
                              </w:rPr>
                              <w:instrText xml:space="preserve"> PAGE   \* MERGEFORMAT </w:instrText>
                            </w:r>
                            <w:r w:rsidRPr="00C20647">
                              <w:rPr>
                                <w:rFonts w:ascii="ISOCPEUR" w:eastAsia="Calibri" w:hAnsi="ISOCPEUR" w:cs="Times New Roman"/>
                              </w:rPr>
                              <w:fldChar w:fldCharType="separate"/>
                            </w:r>
                            <w:r w:rsidR="0003635F">
                              <w:rPr>
                                <w:rFonts w:ascii="ISOCPEUR" w:eastAsia="Calibri" w:hAnsi="ISOCPEUR" w:cs="Times New Roman"/>
                                <w:noProof/>
                              </w:rPr>
                              <w:t>14</w:t>
                            </w:r>
                            <w:r w:rsidRPr="00C20647">
                              <w:rPr>
                                <w:rFonts w:ascii="ISOCPEUR" w:eastAsia="Calibri" w:hAnsi="ISOCPEUR" w:cs="Times New Roman"/>
                              </w:rPr>
                              <w:fldChar w:fldCharType="end"/>
                            </w:r>
                          </w:p>
                        </w:txbxContent>
                      </wps:txbx>
                      <wps:bodyPr rot="0" vert="horz" wrap="square" lIns="12700" tIns="12700" rIns="12700" bIns="12700" anchor="t" anchorCtr="0" upright="1">
                        <a:noAutofit/>
                      </wps:bodyPr>
                    </wps:wsp>
                    <wps:wsp>
                      <wps:cNvPr id="20" name="Rectangle 20"/>
                      <wps:cNvSpPr>
                        <a:spLocks noChangeArrowheads="1"/>
                      </wps:cNvSpPr>
                      <wps:spPr bwMode="auto">
                        <a:xfrm>
                          <a:off x="5169" y="15690"/>
                          <a:ext cx="5759"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4C1E8B" w14:textId="18FA4E13" w:rsidR="00230BE4" w:rsidRPr="00031794" w:rsidRDefault="00230BE4" w:rsidP="00BD0D7C">
                            <w:pPr>
                              <w:pStyle w:val="a7"/>
                              <w:jc w:val="center"/>
                              <w:rPr>
                                <w:rFonts w:ascii="Times New Roman" w:hAnsi="Times New Roman"/>
                                <w:sz w:val="52"/>
                                <w:szCs w:val="52"/>
                                <w:lang w:val="en-US"/>
                              </w:rPr>
                            </w:pPr>
                            <w:r w:rsidRPr="00031794">
                              <w:rPr>
                                <w:sz w:val="52"/>
                                <w:szCs w:val="52"/>
                                <w:lang w:val="ru-RU"/>
                              </w:rPr>
                              <w:t>ЛНТ.</w:t>
                            </w:r>
                            <w:r w:rsidRPr="00EC7AF8">
                              <w:rPr>
                                <w:sz w:val="52"/>
                                <w:szCs w:val="52"/>
                                <w:highlight w:val="yellow"/>
                                <w:lang w:val="ru-RU"/>
                              </w:rPr>
                              <w:t>РЭ</w:t>
                            </w:r>
                            <w:r w:rsidRPr="00EC7AF8">
                              <w:rPr>
                                <w:color w:val="000000" w:themeColor="text1"/>
                                <w:sz w:val="52"/>
                                <w:szCs w:val="52"/>
                                <w:highlight w:val="yellow"/>
                                <w:lang w:val="ru-RU"/>
                              </w:rPr>
                              <w:t>.</w:t>
                            </w:r>
                            <w:r w:rsidR="009A3836" w:rsidRPr="00EC7AF8">
                              <w:rPr>
                                <w:color w:val="000000" w:themeColor="text1"/>
                                <w:sz w:val="52"/>
                                <w:szCs w:val="52"/>
                                <w:highlight w:val="yellow"/>
                                <w:lang w:val="ru-RU"/>
                              </w:rPr>
                              <w:t>26</w:t>
                            </w:r>
                            <w:r w:rsidR="002E5C5A" w:rsidRPr="009A3836">
                              <w:rPr>
                                <w:color w:val="000000" w:themeColor="text1"/>
                                <w:sz w:val="52"/>
                                <w:szCs w:val="52"/>
                                <w:lang w:val="ru-RU"/>
                              </w:rPr>
                              <w:t>.</w:t>
                            </w:r>
                            <w:r w:rsidR="00631C2C" w:rsidRPr="009A3836">
                              <w:rPr>
                                <w:color w:val="000000" w:themeColor="text1"/>
                                <w:sz w:val="52"/>
                                <w:szCs w:val="52"/>
                                <w:lang w:val="ru-RU"/>
                              </w:rPr>
                              <w:t>00</w:t>
                            </w:r>
                            <w:r w:rsidRPr="009A3836">
                              <w:rPr>
                                <w:color w:val="000000" w:themeColor="text1"/>
                                <w:sz w:val="52"/>
                                <w:szCs w:val="52"/>
                                <w:lang w:val="ru-RU"/>
                              </w:rPr>
                              <w:t>.</w:t>
                            </w:r>
                            <w:r w:rsidRPr="00031794">
                              <w:rPr>
                                <w:sz w:val="52"/>
                                <w:szCs w:val="52"/>
                                <w:lang w:val="ru-RU"/>
                              </w:rPr>
                              <w:t>000.ПЗ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63AB3" id="Group 22" o:spid="_x0000_s1026" style="position:absolute;margin-left:-13.8pt;margin-top:-17.6pt;width:520pt;height:803.5pt;z-index:251678720" coordorigin="1142,356" coordsize="10400,1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">
              <v:rect id="Rectangle 2" o:spid="_x0000_s1027" style="position:absolute;left:1142;top:356;width:10400;height:1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3" o:spid="_x0000_s1028" style="position:absolute;visibility:visible;mso-wrap-style:square" from="1710,15582" to="1711,1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4" o:spid="_x0000_s1029" style="position:absolute;visibility:visible;mso-wrap-style:square" from="1147,15575" to="11530,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5" o:spid="_x0000_s1030" style="position:absolute;visibility:visible;mso-wrap-style:square" from="2279,15582" to="2280,1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6" o:spid="_x0000_s1031" style="position:absolute;visibility:visible;mso-wrap-style:square" from="3700,15582" to="3701,1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7" o:spid="_x0000_s1032" style="position:absolute;visibility:visible;mso-wrap-style:square" from="4552,15590" to="4553,1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8" o:spid="_x0000_s1033" style="position:absolute;visibility:visible;mso-wrap-style:square" from="5120,15582" to="5121,16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9" o:spid="_x0000_s1034" style="position:absolute;visibility:visible;mso-wrap-style:square" from="10973,15582" to="10975,1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0" o:spid="_x0000_s1035" style="position:absolute;visibility:visible;mso-wrap-style:square" from="1147,15858" to="5110,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11" o:spid="_x0000_s1036" style="position:absolute;visibility:visible;mso-wrap-style:square" from="1147,16142" to="5110,16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line id="Line 12" o:spid="_x0000_s1037" style="position:absolute;visibility:visible;mso-wrap-style:square" from="10980,15860" to="11537,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rect id="Rectangle 13" o:spid="_x0000_s1038" style="position:absolute;left:1170;top:16153;width:52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" filled="f" stroked="f" strokeweight=".25pt">
                <v:textbox inset="1pt,1pt,1pt,1pt">
                  <w:txbxContent>
                    <w:p w14:paraId="3136E322" w14:textId="77777777" w:rsidR="00230BE4" w:rsidRPr="00BA390F" w:rsidRDefault="00230BE4" w:rsidP="00BD0D7C">
                      <w:pPr>
                        <w:pStyle w:val="a7"/>
                        <w:jc w:val="center"/>
                        <w:rPr>
                          <w:rFonts w:cs="Arial"/>
                          <w:sz w:val="16"/>
                          <w:szCs w:val="16"/>
                        </w:rPr>
                      </w:pPr>
                      <w:r w:rsidRPr="00BA390F">
                        <w:rPr>
                          <w:rFonts w:cs="Arial"/>
                          <w:sz w:val="16"/>
                          <w:szCs w:val="16"/>
                        </w:rPr>
                        <w:t>Изм.</w:t>
                      </w:r>
                    </w:p>
                  </w:txbxContent>
                </v:textbox>
              </v:rect>
              <v:rect id="Rectangle 14" o:spid="_x0000_s1039" style="position:absolute;left:1734;top:16153;width:52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inset="1pt,1pt,1pt,1pt">
                  <w:txbxContent>
                    <w:p w14:paraId="1F7F6222" w14:textId="77777777" w:rsidR="00230BE4" w:rsidRPr="00414F11" w:rsidRDefault="00230BE4" w:rsidP="00BD0D7C">
                      <w:pPr>
                        <w:pStyle w:val="a7"/>
                        <w:jc w:val="center"/>
                        <w:rPr>
                          <w:rFonts w:cs="Arial"/>
                          <w:sz w:val="16"/>
                          <w:szCs w:val="16"/>
                        </w:rPr>
                      </w:pPr>
                      <w:r w:rsidRPr="00414F11">
                        <w:rPr>
                          <w:rFonts w:cs="Arial"/>
                          <w:sz w:val="16"/>
                          <w:szCs w:val="16"/>
                        </w:rPr>
                        <w:t>Лист</w:t>
                      </w:r>
                    </w:p>
                  </w:txbxContent>
                </v:textbox>
              </v:rect>
              <v:rect id="Rectangle 15" o:spid="_x0000_s1040" style="position:absolute;left:2321;top:16153;width:133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inset="1pt,1pt,1pt,1pt">
                  <w:txbxContent>
                    <w:p w14:paraId="7AF4F2BC" w14:textId="77777777" w:rsidR="00230BE4" w:rsidRPr="00414F11" w:rsidRDefault="00230BE4" w:rsidP="00BD0D7C">
                      <w:pPr>
                        <w:pStyle w:val="a7"/>
                        <w:jc w:val="center"/>
                        <w:rPr>
                          <w:rFonts w:cs="Arial"/>
                          <w:sz w:val="16"/>
                          <w:szCs w:val="16"/>
                          <w:lang w:val="ru-RU"/>
                        </w:rPr>
                      </w:pPr>
                      <w:r w:rsidRPr="00414F11">
                        <w:rPr>
                          <w:rFonts w:cs="Arial"/>
                          <w:sz w:val="16"/>
                          <w:szCs w:val="16"/>
                        </w:rPr>
                        <w:t xml:space="preserve">№ </w:t>
                      </w:r>
                      <w:r w:rsidRPr="00414F11">
                        <w:rPr>
                          <w:rFonts w:cs="Arial"/>
                          <w:sz w:val="16"/>
                          <w:szCs w:val="16"/>
                          <w:lang w:val="ru-RU"/>
                        </w:rPr>
                        <w:t>документа</w:t>
                      </w:r>
                    </w:p>
                  </w:txbxContent>
                </v:textbox>
              </v:rect>
              <v:rect id="Rectangle 16" o:spid="_x0000_s1041" style="position:absolute;left:3733;top:16153;width:79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inset="1pt,1pt,1pt,1pt">
                  <w:txbxContent>
                    <w:p w14:paraId="023799AB" w14:textId="77777777" w:rsidR="00230BE4" w:rsidRPr="00414F11" w:rsidRDefault="00230BE4" w:rsidP="00BD0D7C">
                      <w:pPr>
                        <w:pStyle w:val="a7"/>
                        <w:jc w:val="center"/>
                        <w:rPr>
                          <w:rFonts w:cs="Arial"/>
                          <w:sz w:val="16"/>
                          <w:szCs w:val="16"/>
                        </w:rPr>
                      </w:pPr>
                      <w:r w:rsidRPr="00414F11">
                        <w:rPr>
                          <w:rFonts w:cs="Arial"/>
                          <w:sz w:val="16"/>
                          <w:szCs w:val="16"/>
                        </w:rPr>
                        <w:t>Подпись</w:t>
                      </w:r>
                    </w:p>
                  </w:txbxContent>
                </v:textbox>
              </v:rect>
              <v:rect id="Rectangle 17" o:spid="_x0000_s1042" style="position:absolute;left:4576;top:16153;width:52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14:paraId="18AAAB02" w14:textId="77777777" w:rsidR="00230BE4" w:rsidRPr="00414F11" w:rsidRDefault="00230BE4" w:rsidP="00BD0D7C">
                      <w:pPr>
                        <w:pStyle w:val="a7"/>
                        <w:jc w:val="center"/>
                        <w:rPr>
                          <w:rFonts w:cs="Arial"/>
                          <w:sz w:val="16"/>
                          <w:szCs w:val="16"/>
                        </w:rPr>
                      </w:pPr>
                      <w:r w:rsidRPr="00414F11">
                        <w:rPr>
                          <w:rFonts w:cs="Arial"/>
                          <w:sz w:val="16"/>
                          <w:szCs w:val="16"/>
                        </w:rPr>
                        <w:t>Дата</w:t>
                      </w:r>
                    </w:p>
                  </w:txbxContent>
                </v:textbox>
              </v:rect>
              <v:rect id="Rectangle 18" o:spid="_x0000_s1043" style="position:absolute;left:10995;top:15604;width:52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inset="1pt,1pt,1pt,1pt">
                  <w:txbxContent>
                    <w:p w14:paraId="5417B101" w14:textId="77777777" w:rsidR="00230BE4" w:rsidRPr="00414F11" w:rsidRDefault="00230BE4" w:rsidP="00BD0D7C">
                      <w:pPr>
                        <w:pStyle w:val="a7"/>
                        <w:jc w:val="center"/>
                        <w:rPr>
                          <w:rFonts w:cs="Arial"/>
                          <w:sz w:val="16"/>
                          <w:szCs w:val="16"/>
                        </w:rPr>
                      </w:pPr>
                      <w:r w:rsidRPr="00414F11">
                        <w:rPr>
                          <w:rFonts w:cs="Arial"/>
                          <w:sz w:val="16"/>
                          <w:szCs w:val="16"/>
                        </w:rPr>
                        <w:t>Лист</w:t>
                      </w:r>
                    </w:p>
                  </w:txbxContent>
                </v:textbox>
              </v:rect>
              <v:rect id="Rectangle 19" o:spid="_x0000_s1044" style="position:absolute;left:10995;top:15972;width: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inset="1pt,1pt,1pt,1pt">
                  <w:txbxContent>
                    <w:p w14:paraId="71E6409C" w14:textId="77777777" w:rsidR="00230BE4" w:rsidRPr="00C20647" w:rsidRDefault="00A038DF" w:rsidP="00BD0D7C">
                      <w:pPr>
                        <w:jc w:val="center"/>
                        <w:rPr>
                          <w:rFonts w:ascii="ISOCPEUR" w:eastAsia="Calibri" w:hAnsi="ISOCPEUR" w:cs="Times New Roman"/>
                        </w:rPr>
                      </w:pPr>
                      <w:r w:rsidRPr="00C20647">
                        <w:rPr>
                          <w:rFonts w:ascii="ISOCPEUR" w:eastAsia="Calibri" w:hAnsi="ISOCPEUR" w:cs="Times New Roman"/>
                        </w:rPr>
                        <w:fldChar w:fldCharType="begin"/>
                      </w:r>
                      <w:r w:rsidR="00230BE4" w:rsidRPr="00C20647">
                        <w:rPr>
                          <w:rFonts w:ascii="ISOCPEUR" w:eastAsia="Calibri" w:hAnsi="ISOCPEUR" w:cs="Times New Roman"/>
                        </w:rPr>
                        <w:instrText xml:space="preserve"> PAGE   \* MERGEFORMAT </w:instrText>
                      </w:r>
                      <w:r w:rsidRPr="00C20647">
                        <w:rPr>
                          <w:rFonts w:ascii="ISOCPEUR" w:eastAsia="Calibri" w:hAnsi="ISOCPEUR" w:cs="Times New Roman"/>
                        </w:rPr>
                        <w:fldChar w:fldCharType="separate"/>
                      </w:r>
                      <w:r w:rsidR="0003635F">
                        <w:rPr>
                          <w:rFonts w:ascii="ISOCPEUR" w:eastAsia="Calibri" w:hAnsi="ISOCPEUR" w:cs="Times New Roman"/>
                          <w:noProof/>
                        </w:rPr>
                        <w:t>14</w:t>
                      </w:r>
                      <w:r w:rsidRPr="00C20647">
                        <w:rPr>
                          <w:rFonts w:ascii="ISOCPEUR" w:eastAsia="Calibri" w:hAnsi="ISOCPEUR" w:cs="Times New Roman"/>
                        </w:rPr>
                        <w:fldChar w:fldCharType="end"/>
                      </w:r>
                    </w:p>
                  </w:txbxContent>
                </v:textbox>
              </v:rect>
              <v:rect id="Rectangle 20" o:spid="_x0000_s1045" style="position:absolute;left:5169;top:15690;width:5759;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" filled="f" stroked="f" strokeweight=".25pt">
                <v:textbox inset="1pt,1pt,1pt,1pt">
                  <w:txbxContent>
                    <w:p w14:paraId="064C1E8B" w14:textId="18FA4E13" w:rsidR="00230BE4" w:rsidRPr="00031794" w:rsidRDefault="00230BE4" w:rsidP="00BD0D7C">
                      <w:pPr>
                        <w:pStyle w:val="a7"/>
                        <w:jc w:val="center"/>
                        <w:rPr>
                          <w:rFonts w:ascii="Times New Roman" w:hAnsi="Times New Roman"/>
                          <w:sz w:val="52"/>
                          <w:szCs w:val="52"/>
                          <w:lang w:val="en-US"/>
                        </w:rPr>
                      </w:pPr>
                      <w:r w:rsidRPr="00031794">
                        <w:rPr>
                          <w:sz w:val="52"/>
                          <w:szCs w:val="52"/>
                          <w:lang w:val="ru-RU"/>
                        </w:rPr>
                        <w:t>ЛНТ.</w:t>
                      </w:r>
                      <w:r w:rsidRPr="00EC7AF8">
                        <w:rPr>
                          <w:sz w:val="52"/>
                          <w:szCs w:val="52"/>
                          <w:highlight w:val="yellow"/>
                          <w:lang w:val="ru-RU"/>
                        </w:rPr>
                        <w:t>РЭ</w:t>
                      </w:r>
                      <w:r w:rsidRPr="00EC7AF8">
                        <w:rPr>
                          <w:color w:val="000000" w:themeColor="text1"/>
                          <w:sz w:val="52"/>
                          <w:szCs w:val="52"/>
                          <w:highlight w:val="yellow"/>
                          <w:lang w:val="ru-RU"/>
                        </w:rPr>
                        <w:t>.</w:t>
                      </w:r>
                      <w:r w:rsidR="009A3836" w:rsidRPr="00EC7AF8">
                        <w:rPr>
                          <w:color w:val="000000" w:themeColor="text1"/>
                          <w:sz w:val="52"/>
                          <w:szCs w:val="52"/>
                          <w:highlight w:val="yellow"/>
                          <w:lang w:val="ru-RU"/>
                        </w:rPr>
                        <w:t>26</w:t>
                      </w:r>
                      <w:r w:rsidR="002E5C5A" w:rsidRPr="009A3836">
                        <w:rPr>
                          <w:color w:val="000000" w:themeColor="text1"/>
                          <w:sz w:val="52"/>
                          <w:szCs w:val="52"/>
                          <w:lang w:val="ru-RU"/>
                        </w:rPr>
                        <w:t>.</w:t>
                      </w:r>
                      <w:r w:rsidR="00631C2C" w:rsidRPr="009A3836">
                        <w:rPr>
                          <w:color w:val="000000" w:themeColor="text1"/>
                          <w:sz w:val="52"/>
                          <w:szCs w:val="52"/>
                          <w:lang w:val="ru-RU"/>
                        </w:rPr>
                        <w:t>00</w:t>
                      </w:r>
                      <w:r w:rsidRPr="009A3836">
                        <w:rPr>
                          <w:color w:val="000000" w:themeColor="text1"/>
                          <w:sz w:val="52"/>
                          <w:szCs w:val="52"/>
                          <w:lang w:val="ru-RU"/>
                        </w:rPr>
                        <w:t>.</w:t>
                      </w:r>
                      <w:r w:rsidRPr="00031794">
                        <w:rPr>
                          <w:sz w:val="52"/>
                          <w:szCs w:val="52"/>
                          <w:lang w:val="ru-RU"/>
                        </w:rPr>
                        <w:t>000.ПЗ</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36B"/>
    <w:multiLevelType w:val="hybridMultilevel"/>
    <w:tmpl w:val="86E8191A"/>
    <w:lvl w:ilvl="0" w:tplc="B04C0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287C33"/>
    <w:multiLevelType w:val="hybridMultilevel"/>
    <w:tmpl w:val="EE9A2D84"/>
    <w:lvl w:ilvl="0" w:tplc="B04C0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2A1B5E"/>
    <w:multiLevelType w:val="multilevel"/>
    <w:tmpl w:val="2060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B7917"/>
    <w:multiLevelType w:val="hybridMultilevel"/>
    <w:tmpl w:val="6C5A349E"/>
    <w:lvl w:ilvl="0" w:tplc="B04C0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BD46B9"/>
    <w:multiLevelType w:val="hybridMultilevel"/>
    <w:tmpl w:val="E5FA4A98"/>
    <w:lvl w:ilvl="0" w:tplc="B04C0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9854F1"/>
    <w:multiLevelType w:val="hybridMultilevel"/>
    <w:tmpl w:val="E4789116"/>
    <w:lvl w:ilvl="0" w:tplc="84F42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3C64F7"/>
    <w:multiLevelType w:val="hybridMultilevel"/>
    <w:tmpl w:val="4C8E72DC"/>
    <w:lvl w:ilvl="0" w:tplc="B04C0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997A91"/>
    <w:multiLevelType w:val="hybridMultilevel"/>
    <w:tmpl w:val="B93020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692579"/>
    <w:multiLevelType w:val="hybridMultilevel"/>
    <w:tmpl w:val="B344B8BC"/>
    <w:lvl w:ilvl="0" w:tplc="B04C0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E1F48FC"/>
    <w:multiLevelType w:val="multilevel"/>
    <w:tmpl w:val="A538E7BA"/>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0" w15:restartNumberingAfterBreak="0">
    <w:nsid w:val="4E362A82"/>
    <w:multiLevelType w:val="hybridMultilevel"/>
    <w:tmpl w:val="12DE0CB8"/>
    <w:lvl w:ilvl="0" w:tplc="335803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4C1463"/>
    <w:multiLevelType w:val="hybridMultilevel"/>
    <w:tmpl w:val="92ECE756"/>
    <w:lvl w:ilvl="0" w:tplc="B04C0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756687"/>
    <w:multiLevelType w:val="hybridMultilevel"/>
    <w:tmpl w:val="1172A0C2"/>
    <w:lvl w:ilvl="0" w:tplc="B04C0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A7725A"/>
    <w:multiLevelType w:val="hybridMultilevel"/>
    <w:tmpl w:val="5FB05EBC"/>
    <w:lvl w:ilvl="0" w:tplc="335803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EAD5E9A"/>
    <w:multiLevelType w:val="multilevel"/>
    <w:tmpl w:val="241E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55148"/>
    <w:multiLevelType w:val="hybridMultilevel"/>
    <w:tmpl w:val="1F381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6"/>
  </w:num>
  <w:num w:numId="5">
    <w:abstractNumId w:val="9"/>
  </w:num>
  <w:num w:numId="6">
    <w:abstractNumId w:val="11"/>
  </w:num>
  <w:num w:numId="7">
    <w:abstractNumId w:val="13"/>
  </w:num>
  <w:num w:numId="8">
    <w:abstractNumId w:val="1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3"/>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7C"/>
    <w:rsid w:val="0003126F"/>
    <w:rsid w:val="00031794"/>
    <w:rsid w:val="00033EBF"/>
    <w:rsid w:val="0003635F"/>
    <w:rsid w:val="000431DD"/>
    <w:rsid w:val="000470FB"/>
    <w:rsid w:val="0014172A"/>
    <w:rsid w:val="00186B33"/>
    <w:rsid w:val="001B69A3"/>
    <w:rsid w:val="001C066F"/>
    <w:rsid w:val="001D1C96"/>
    <w:rsid w:val="00230BE4"/>
    <w:rsid w:val="00240A32"/>
    <w:rsid w:val="00277A21"/>
    <w:rsid w:val="002E5C5A"/>
    <w:rsid w:val="003155EC"/>
    <w:rsid w:val="0037647F"/>
    <w:rsid w:val="003A3613"/>
    <w:rsid w:val="00414F11"/>
    <w:rsid w:val="00430B3F"/>
    <w:rsid w:val="004500A9"/>
    <w:rsid w:val="00491A4F"/>
    <w:rsid w:val="00492AE8"/>
    <w:rsid w:val="004A423B"/>
    <w:rsid w:val="004C73EA"/>
    <w:rsid w:val="004D2C96"/>
    <w:rsid w:val="004D78A8"/>
    <w:rsid w:val="00500658"/>
    <w:rsid w:val="00507846"/>
    <w:rsid w:val="005C1E19"/>
    <w:rsid w:val="005C2BA2"/>
    <w:rsid w:val="00623ED3"/>
    <w:rsid w:val="00631C2C"/>
    <w:rsid w:val="00661662"/>
    <w:rsid w:val="006773F8"/>
    <w:rsid w:val="006D191A"/>
    <w:rsid w:val="00707143"/>
    <w:rsid w:val="00771201"/>
    <w:rsid w:val="00795F02"/>
    <w:rsid w:val="00816EC2"/>
    <w:rsid w:val="00827C85"/>
    <w:rsid w:val="008404BD"/>
    <w:rsid w:val="008808AF"/>
    <w:rsid w:val="008A47C1"/>
    <w:rsid w:val="008B1E36"/>
    <w:rsid w:val="008B2D8E"/>
    <w:rsid w:val="0092230C"/>
    <w:rsid w:val="00946D54"/>
    <w:rsid w:val="009545C5"/>
    <w:rsid w:val="00990C64"/>
    <w:rsid w:val="009A3836"/>
    <w:rsid w:val="009A4D6A"/>
    <w:rsid w:val="009E35E3"/>
    <w:rsid w:val="00A038DF"/>
    <w:rsid w:val="00A16D6C"/>
    <w:rsid w:val="00A222E2"/>
    <w:rsid w:val="00A237A1"/>
    <w:rsid w:val="00A24D69"/>
    <w:rsid w:val="00A26B94"/>
    <w:rsid w:val="00AD4A5D"/>
    <w:rsid w:val="00B51812"/>
    <w:rsid w:val="00BA390F"/>
    <w:rsid w:val="00BD0D7C"/>
    <w:rsid w:val="00BF02CC"/>
    <w:rsid w:val="00C0192A"/>
    <w:rsid w:val="00C15BDB"/>
    <w:rsid w:val="00C20647"/>
    <w:rsid w:val="00C35342"/>
    <w:rsid w:val="00C9652D"/>
    <w:rsid w:val="00CC2EA4"/>
    <w:rsid w:val="00CD3E84"/>
    <w:rsid w:val="00CE6754"/>
    <w:rsid w:val="00D93A9B"/>
    <w:rsid w:val="00DB58AF"/>
    <w:rsid w:val="00DC677D"/>
    <w:rsid w:val="00E02661"/>
    <w:rsid w:val="00E15050"/>
    <w:rsid w:val="00EB138A"/>
    <w:rsid w:val="00EB4A74"/>
    <w:rsid w:val="00EC7AF8"/>
    <w:rsid w:val="00EF4BF1"/>
    <w:rsid w:val="00F258D5"/>
    <w:rsid w:val="00F3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BD395"/>
  <w15:docId w15:val="{7D886069-3E53-4DA2-B88F-2DA44BA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3EA"/>
  </w:style>
  <w:style w:type="paragraph" w:styleId="1">
    <w:name w:val="heading 1"/>
    <w:basedOn w:val="a"/>
    <w:next w:val="a"/>
    <w:link w:val="10"/>
    <w:uiPriority w:val="9"/>
    <w:qFormat/>
    <w:rsid w:val="00990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90C64"/>
    <w:pPr>
      <w:keepNext/>
      <w:spacing w:after="0" w:line="360" w:lineRule="auto"/>
      <w:ind w:right="-58"/>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990C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D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0D7C"/>
  </w:style>
  <w:style w:type="paragraph" w:styleId="a5">
    <w:name w:val="footer"/>
    <w:basedOn w:val="a"/>
    <w:link w:val="a6"/>
    <w:uiPriority w:val="99"/>
    <w:unhideWhenUsed/>
    <w:rsid w:val="00BD0D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0D7C"/>
  </w:style>
  <w:style w:type="paragraph" w:customStyle="1" w:styleId="a7">
    <w:name w:val="Чертежный"/>
    <w:rsid w:val="00BD0D7C"/>
    <w:pPr>
      <w:spacing w:after="0" w:line="240" w:lineRule="auto"/>
      <w:jc w:val="both"/>
    </w:pPr>
    <w:rPr>
      <w:rFonts w:ascii="ISOCPEUR" w:eastAsia="Times New Roman" w:hAnsi="ISOCPEUR" w:cs="Times New Roman"/>
      <w:i/>
      <w:sz w:val="28"/>
      <w:szCs w:val="20"/>
      <w:lang w:val="uk-UA" w:eastAsia="ru-RU"/>
    </w:rPr>
  </w:style>
  <w:style w:type="character" w:customStyle="1" w:styleId="20">
    <w:name w:val="Заголовок 2 Знак"/>
    <w:basedOn w:val="a0"/>
    <w:link w:val="2"/>
    <w:rsid w:val="00990C64"/>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990C64"/>
    <w:rPr>
      <w:rFonts w:asciiTheme="majorHAnsi" w:eastAsiaTheme="majorEastAsia" w:hAnsiTheme="majorHAnsi" w:cstheme="majorBidi"/>
      <w:b/>
      <w:bCs/>
      <w:color w:val="4F81BD" w:themeColor="accent1"/>
    </w:rPr>
  </w:style>
  <w:style w:type="paragraph" w:styleId="a8">
    <w:name w:val="List Paragraph"/>
    <w:basedOn w:val="a"/>
    <w:uiPriority w:val="34"/>
    <w:qFormat/>
    <w:rsid w:val="00990C64"/>
    <w:pPr>
      <w:ind w:left="720"/>
      <w:contextualSpacing/>
    </w:pPr>
    <w:rPr>
      <w:rFonts w:ascii="Calibri" w:eastAsia="Calibri" w:hAnsi="Calibri" w:cs="Times New Roman"/>
    </w:rPr>
  </w:style>
  <w:style w:type="character" w:customStyle="1" w:styleId="apple-converted-space">
    <w:name w:val="apple-converted-space"/>
    <w:rsid w:val="00990C64"/>
  </w:style>
  <w:style w:type="character" w:styleId="a9">
    <w:name w:val="Hyperlink"/>
    <w:uiPriority w:val="99"/>
    <w:unhideWhenUsed/>
    <w:rsid w:val="00990C64"/>
    <w:rPr>
      <w:color w:val="0000FF"/>
      <w:u w:val="single"/>
    </w:rPr>
  </w:style>
  <w:style w:type="paragraph" w:styleId="aa">
    <w:name w:val="No Spacing"/>
    <w:uiPriority w:val="1"/>
    <w:qFormat/>
    <w:rsid w:val="00990C64"/>
    <w:pPr>
      <w:spacing w:after="0"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990C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rsid w:val="00990C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6">
    <w:name w:val="ff6"/>
    <w:basedOn w:val="a0"/>
    <w:rsid w:val="00990C64"/>
  </w:style>
  <w:style w:type="character" w:customStyle="1" w:styleId="ff7">
    <w:name w:val="ff7"/>
    <w:basedOn w:val="a0"/>
    <w:rsid w:val="00990C64"/>
  </w:style>
  <w:style w:type="character" w:customStyle="1" w:styleId="ff8">
    <w:name w:val="ff8"/>
    <w:basedOn w:val="a0"/>
    <w:rsid w:val="00990C64"/>
  </w:style>
  <w:style w:type="character" w:customStyle="1" w:styleId="ls30">
    <w:name w:val="ls30"/>
    <w:basedOn w:val="a0"/>
    <w:rsid w:val="00990C64"/>
  </w:style>
  <w:style w:type="character" w:customStyle="1" w:styleId="ls6">
    <w:name w:val="ls6"/>
    <w:basedOn w:val="a0"/>
    <w:rsid w:val="00990C64"/>
  </w:style>
  <w:style w:type="character" w:customStyle="1" w:styleId="lsa">
    <w:name w:val="lsa"/>
    <w:basedOn w:val="a0"/>
    <w:rsid w:val="00990C64"/>
  </w:style>
  <w:style w:type="character" w:customStyle="1" w:styleId="ls5d">
    <w:name w:val="ls5d"/>
    <w:basedOn w:val="a0"/>
    <w:rsid w:val="00990C64"/>
  </w:style>
  <w:style w:type="character" w:customStyle="1" w:styleId="ws6">
    <w:name w:val="ws6"/>
    <w:basedOn w:val="a0"/>
    <w:rsid w:val="00990C64"/>
  </w:style>
  <w:style w:type="character" w:customStyle="1" w:styleId="10">
    <w:name w:val="Заголовок 1 Знак"/>
    <w:basedOn w:val="a0"/>
    <w:link w:val="1"/>
    <w:uiPriority w:val="9"/>
    <w:rsid w:val="00990C64"/>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990C64"/>
    <w:pPr>
      <w:outlineLvl w:val="9"/>
    </w:pPr>
    <w:rPr>
      <w:rFonts w:ascii="Cambria" w:eastAsia="Times New Roman" w:hAnsi="Cambria" w:cs="Times New Roman"/>
      <w:color w:val="365F91"/>
      <w:lang w:eastAsia="ru-RU"/>
    </w:rPr>
  </w:style>
  <w:style w:type="character" w:styleId="ae">
    <w:name w:val="Placeholder Text"/>
    <w:basedOn w:val="a0"/>
    <w:uiPriority w:val="99"/>
    <w:semiHidden/>
    <w:rsid w:val="004D2C96"/>
    <w:rPr>
      <w:color w:val="808080"/>
    </w:rPr>
  </w:style>
  <w:style w:type="character" w:styleId="af">
    <w:name w:val="Strong"/>
    <w:basedOn w:val="a0"/>
    <w:uiPriority w:val="22"/>
    <w:qFormat/>
    <w:rsid w:val="00492AE8"/>
    <w:rPr>
      <w:b/>
      <w:bCs/>
    </w:rPr>
  </w:style>
  <w:style w:type="paragraph" w:styleId="af0">
    <w:name w:val="Body Text"/>
    <w:basedOn w:val="a"/>
    <w:link w:val="af1"/>
    <w:uiPriority w:val="99"/>
    <w:unhideWhenUsed/>
    <w:rsid w:val="008B1E36"/>
    <w:pPr>
      <w:spacing w:after="120" w:line="240" w:lineRule="auto"/>
    </w:pPr>
    <w:rPr>
      <w:rFonts w:ascii="Calibri" w:eastAsia="Calibri" w:hAnsi="Calibri" w:cs="Times New Roman"/>
    </w:rPr>
  </w:style>
  <w:style w:type="character" w:customStyle="1" w:styleId="af1">
    <w:name w:val="Основной текст Знак"/>
    <w:basedOn w:val="a0"/>
    <w:link w:val="af0"/>
    <w:uiPriority w:val="99"/>
    <w:rsid w:val="008B1E36"/>
    <w:rPr>
      <w:rFonts w:ascii="Calibri" w:eastAsia="Calibri" w:hAnsi="Calibri" w:cs="Times New Roman"/>
    </w:rPr>
  </w:style>
  <w:style w:type="paragraph" w:styleId="af2">
    <w:name w:val="Title"/>
    <w:basedOn w:val="a"/>
    <w:link w:val="af3"/>
    <w:qFormat/>
    <w:rsid w:val="008B1E36"/>
    <w:pPr>
      <w:autoSpaceDE w:val="0"/>
      <w:autoSpaceDN w:val="0"/>
      <w:adjustRightInd w:val="0"/>
      <w:spacing w:after="0" w:line="240" w:lineRule="atLeast"/>
      <w:jc w:val="center"/>
    </w:pPr>
    <w:rPr>
      <w:rFonts w:ascii="Courier New" w:eastAsia="Times New Roman" w:hAnsi="Courier New" w:cs="Times New Roman"/>
      <w:b/>
      <w:bCs/>
      <w:i/>
      <w:iCs/>
      <w:sz w:val="20"/>
      <w:szCs w:val="20"/>
      <w:u w:val="single"/>
    </w:rPr>
  </w:style>
  <w:style w:type="character" w:customStyle="1" w:styleId="af3">
    <w:name w:val="Заголовок Знак"/>
    <w:basedOn w:val="a0"/>
    <w:link w:val="af2"/>
    <w:rsid w:val="008B1E36"/>
    <w:rPr>
      <w:rFonts w:ascii="Courier New" w:eastAsia="Times New Roman" w:hAnsi="Courier New" w:cs="Times New Roman"/>
      <w:b/>
      <w:bCs/>
      <w:i/>
      <w:i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1274">
      <w:bodyDiv w:val="1"/>
      <w:marLeft w:val="0"/>
      <w:marRight w:val="0"/>
      <w:marTop w:val="0"/>
      <w:marBottom w:val="0"/>
      <w:divBdr>
        <w:top w:val="none" w:sz="0" w:space="0" w:color="auto"/>
        <w:left w:val="none" w:sz="0" w:space="0" w:color="auto"/>
        <w:bottom w:val="none" w:sz="0" w:space="0" w:color="auto"/>
        <w:right w:val="none" w:sz="0" w:space="0" w:color="auto"/>
      </w:divBdr>
    </w:div>
    <w:div w:id="1305046884">
      <w:bodyDiv w:val="1"/>
      <w:marLeft w:val="0"/>
      <w:marRight w:val="0"/>
      <w:marTop w:val="0"/>
      <w:marBottom w:val="0"/>
      <w:divBdr>
        <w:top w:val="none" w:sz="0" w:space="0" w:color="auto"/>
        <w:left w:val="none" w:sz="0" w:space="0" w:color="auto"/>
        <w:bottom w:val="none" w:sz="0" w:space="0" w:color="auto"/>
        <w:right w:val="none" w:sz="0" w:space="0" w:color="auto"/>
      </w:divBdr>
    </w:div>
    <w:div w:id="15930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ytovar.ru/s/Stacionarnye-i-pervichnye-sreds.html" TargetMode="External"/><Relationship Id="rId3" Type="http://schemas.openxmlformats.org/officeDocument/2006/relationships/settings" Target="settings.xml"/><Relationship Id="rId7" Type="http://schemas.openxmlformats.org/officeDocument/2006/relationships/hyperlink" Target="http://www.znaytovar.ru/s/Syre_i_proizvodstvo_kof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Виктория Виктория</cp:lastModifiedBy>
  <cp:revision>2</cp:revision>
  <cp:lastPrinted>2024-09-12T10:00:00Z</cp:lastPrinted>
  <dcterms:created xsi:type="dcterms:W3CDTF">2024-09-18T06:39:00Z</dcterms:created>
  <dcterms:modified xsi:type="dcterms:W3CDTF">2024-09-18T06:39:00Z</dcterms:modified>
</cp:coreProperties>
</file>